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BC6" w:rsidRPr="00E734E9" w:rsidRDefault="005F0BC6" w:rsidP="005F0BC6">
      <w:pPr>
        <w:jc w:val="center"/>
        <w:rPr>
          <w:b/>
          <w:sz w:val="24"/>
          <w:szCs w:val="24"/>
        </w:rPr>
      </w:pPr>
      <w:r w:rsidRPr="00E734E9">
        <w:rPr>
          <w:b/>
          <w:sz w:val="24"/>
          <w:szCs w:val="24"/>
        </w:rPr>
        <w:t>ASEAN Common Food Control Requirements</w:t>
      </w:r>
    </w:p>
    <w:p w:rsidR="005F0BC6" w:rsidRDefault="005F0BC6" w:rsidP="005F0BC6"/>
    <w:p w:rsidR="005F0BC6" w:rsidRDefault="005F0BC6" w:rsidP="005F0BC6"/>
    <w:p w:rsidR="00C07F1C" w:rsidRDefault="00C07F1C" w:rsidP="005F0BC6"/>
    <w:p w:rsidR="00C07F1C" w:rsidRDefault="00C07F1C" w:rsidP="005F0BC6"/>
    <w:p w:rsidR="005F0BC6" w:rsidRDefault="005F0BC6" w:rsidP="005F0BC6"/>
    <w:p w:rsidR="00DE46E2" w:rsidRDefault="005F0BC6" w:rsidP="003676C1">
      <w:pPr>
        <w:jc w:val="center"/>
        <w:rPr>
          <w:b/>
          <w:sz w:val="24"/>
          <w:szCs w:val="24"/>
        </w:rPr>
      </w:pPr>
      <w:r w:rsidRPr="00C07F1C">
        <w:rPr>
          <w:b/>
          <w:sz w:val="24"/>
          <w:szCs w:val="24"/>
        </w:rPr>
        <w:t xml:space="preserve">ASEAN GUIDELINES FOR FOOD IMPORT CONTROL SYSTEMS </w:t>
      </w:r>
    </w:p>
    <w:p w:rsidR="005F0BC6" w:rsidRPr="00C07F1C" w:rsidRDefault="005F0BC6" w:rsidP="003676C1">
      <w:pPr>
        <w:jc w:val="center"/>
        <w:rPr>
          <w:b/>
          <w:sz w:val="24"/>
          <w:szCs w:val="24"/>
        </w:rPr>
      </w:pPr>
      <w:r w:rsidRPr="00C07F1C">
        <w:rPr>
          <w:b/>
          <w:sz w:val="24"/>
          <w:szCs w:val="24"/>
        </w:rPr>
        <w:t>(</w:t>
      </w:r>
      <w:r w:rsidRPr="00C07F1C">
        <w:rPr>
          <w:sz w:val="24"/>
          <w:szCs w:val="24"/>
        </w:rPr>
        <w:t>CAC/GL 47-2003 GUIDELINES FOR FOOD IMPORT CONTROL SYSTEMS</w:t>
      </w:r>
      <w:r w:rsidR="002F2EA2" w:rsidRPr="00C07F1C">
        <w:rPr>
          <w:sz w:val="24"/>
          <w:szCs w:val="24"/>
        </w:rPr>
        <w:t>,</w:t>
      </w:r>
      <w:r w:rsidR="00C6286B" w:rsidRPr="00C07F1C">
        <w:rPr>
          <w:sz w:val="24"/>
          <w:szCs w:val="24"/>
        </w:rPr>
        <w:t xml:space="preserve"> MOD</w:t>
      </w:r>
      <w:r w:rsidRPr="00C07F1C">
        <w:rPr>
          <w:b/>
          <w:sz w:val="24"/>
          <w:szCs w:val="24"/>
        </w:rPr>
        <w:t>)</w:t>
      </w:r>
    </w:p>
    <w:p w:rsidR="005F0BC6" w:rsidRPr="00C07F1C" w:rsidRDefault="005F0BC6" w:rsidP="005F0BC6">
      <w:pPr>
        <w:rPr>
          <w:sz w:val="24"/>
          <w:szCs w:val="24"/>
        </w:rPr>
      </w:pPr>
    </w:p>
    <w:p w:rsidR="005F0BC6" w:rsidRDefault="005F0BC6" w:rsidP="005F0BC6"/>
    <w:p w:rsidR="005F0BC6" w:rsidRDefault="005F0BC6" w:rsidP="005F0BC6"/>
    <w:p w:rsidR="005F0BC6" w:rsidRDefault="005F0BC6" w:rsidP="005F0BC6"/>
    <w:p w:rsidR="005F0BC6" w:rsidRDefault="005F0BC6" w:rsidP="005F0BC6"/>
    <w:p w:rsidR="005F0BC6" w:rsidRDefault="005F0BC6" w:rsidP="005F0BC6"/>
    <w:p w:rsidR="005F0BC6" w:rsidRDefault="005F0BC6" w:rsidP="005F0BC6"/>
    <w:p w:rsidR="005F0BC6" w:rsidRDefault="005F0BC6" w:rsidP="005F0BC6"/>
    <w:p w:rsidR="00C07F1C" w:rsidRDefault="00C07F1C" w:rsidP="005F0BC6"/>
    <w:p w:rsidR="00C07F1C" w:rsidRDefault="00C07F1C" w:rsidP="005F0BC6"/>
    <w:p w:rsidR="00C07F1C" w:rsidRDefault="00C07F1C" w:rsidP="005F0BC6"/>
    <w:p w:rsidR="00C07F1C" w:rsidRDefault="00C07F1C" w:rsidP="005F0BC6"/>
    <w:p w:rsidR="00C07F1C" w:rsidRDefault="00C07F1C" w:rsidP="005F0BC6"/>
    <w:p w:rsidR="00C07F1C" w:rsidRDefault="00C07F1C" w:rsidP="005F0BC6"/>
    <w:p w:rsidR="00C07F1C" w:rsidRDefault="00C07F1C" w:rsidP="005F0BC6"/>
    <w:p w:rsidR="00C07F1C" w:rsidRDefault="00C07F1C" w:rsidP="005F0BC6"/>
    <w:p w:rsidR="00C07F1C" w:rsidRDefault="00C07F1C" w:rsidP="005F0BC6"/>
    <w:p w:rsidR="00C07F1C" w:rsidRDefault="00C07F1C" w:rsidP="005F0BC6"/>
    <w:p w:rsidR="00C07F1C" w:rsidRDefault="00C07F1C" w:rsidP="005F0BC6"/>
    <w:p w:rsidR="005F0BC6" w:rsidRDefault="005F0BC6" w:rsidP="005F0BC6"/>
    <w:p w:rsidR="005F0BC6" w:rsidRDefault="005F0BC6" w:rsidP="005F0BC6"/>
    <w:p w:rsidR="005F0BC6" w:rsidRDefault="005F0BC6" w:rsidP="005F0BC6">
      <w:pPr>
        <w:sectPr w:rsidR="005F0BC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rsidR="005F0BC6" w:rsidRPr="00E734E9" w:rsidRDefault="00484E85" w:rsidP="005F0BC6">
      <w:pPr>
        <w:rPr>
          <w:b/>
          <w:bCs/>
          <w:lang w:val="en-US"/>
        </w:rPr>
      </w:pPr>
      <w:r w:rsidRPr="00484E85">
        <w:rPr>
          <w:b/>
          <w:bCs/>
          <w:lang w:val="en-US"/>
        </w:rPr>
        <w:lastRenderedPageBreak/>
        <w:t xml:space="preserve">ASEAN GUIDELINES FOR FOOD IMPORT CONTROL SYSTEMS </w:t>
      </w:r>
    </w:p>
    <w:p w:rsidR="005F0BC6" w:rsidRPr="00E734E9" w:rsidRDefault="005F0BC6" w:rsidP="005F0BC6">
      <w:pPr>
        <w:rPr>
          <w:b/>
          <w:bCs/>
          <w:lang w:val="en-US"/>
        </w:rPr>
      </w:pPr>
    </w:p>
    <w:p w:rsidR="005F0BC6" w:rsidRPr="00E734E9" w:rsidRDefault="005F0BC6" w:rsidP="005F0BC6">
      <w:pPr>
        <w:rPr>
          <w:b/>
          <w:bCs/>
          <w:lang w:val="en-US"/>
        </w:rPr>
      </w:pPr>
      <w:r w:rsidRPr="00E734E9">
        <w:rPr>
          <w:b/>
          <w:bCs/>
          <w:lang w:val="en-US"/>
        </w:rPr>
        <w:t>FOREWORD</w:t>
      </w:r>
    </w:p>
    <w:p w:rsidR="005F0BC6" w:rsidRPr="00C07F1C" w:rsidRDefault="005F0BC6" w:rsidP="009B4C3A">
      <w:pPr>
        <w:jc w:val="both"/>
        <w:rPr>
          <w:bCs/>
        </w:rPr>
      </w:pPr>
      <w:r w:rsidRPr="00C07F1C">
        <w:rPr>
          <w:bCs/>
        </w:rPr>
        <w:t xml:space="preserve">The Prepared Foodstuff Product Working Group (PFPWG) under the ASEAN Consultative Committee for Standards and Quality (ACCSQ has been assigned the task of removing or reducing technical barriers to trade in the prepared food sector. The PFPWG has undertaken to harmonise the requirements import </w:t>
      </w:r>
      <w:r w:rsidR="00310660" w:rsidRPr="00C07F1C">
        <w:rPr>
          <w:bCs/>
        </w:rPr>
        <w:t>control</w:t>
      </w:r>
      <w:r w:rsidRPr="00C07F1C">
        <w:rPr>
          <w:bCs/>
        </w:rPr>
        <w:t xml:space="preserve"> systems for food systems towards this objective. The PFPWG has thus undertaken to establish harmonised guidelines for import </w:t>
      </w:r>
      <w:r w:rsidR="00310660" w:rsidRPr="00C07F1C">
        <w:rPr>
          <w:bCs/>
        </w:rPr>
        <w:t>control</w:t>
      </w:r>
      <w:r w:rsidRPr="00C07F1C">
        <w:rPr>
          <w:bCs/>
        </w:rPr>
        <w:t xml:space="preserve"> systems for use by the competent authorities in all ASEAN Member States. Recognizing that the ASEAN Trade in Goods Agreement that was concluded in 2009 requires Member States to be guided by international standards in implementing their Sanitary and Phytosanitary measures, and the requirement of the ASEAN Policy Guideline for Standard and Conformance to adopt international standards, the PFWG has been guided by the Codex standard “</w:t>
      </w:r>
      <w:r w:rsidR="00484E85" w:rsidRPr="00C07F1C">
        <w:rPr>
          <w:bCs/>
        </w:rPr>
        <w:t>CAC/GL 47-2003 GUIDELINES FOR FOOD IMPORT CONTROL SYSTEMS”</w:t>
      </w:r>
      <w:r w:rsidRPr="00C07F1C">
        <w:rPr>
          <w:bCs/>
        </w:rPr>
        <w:t xml:space="preserve"> as the “</w:t>
      </w:r>
      <w:r w:rsidR="00484E85" w:rsidRPr="00C07F1C">
        <w:rPr>
          <w:bCs/>
        </w:rPr>
        <w:t>ASEAN GUIDELINES FOR FOOD IMPORT CONTROL SYSTEMS</w:t>
      </w:r>
      <w:r w:rsidRPr="00C07F1C">
        <w:rPr>
          <w:bCs/>
        </w:rPr>
        <w:t>”.</w:t>
      </w:r>
    </w:p>
    <w:p w:rsidR="00C07F1C" w:rsidRPr="00C07F1C" w:rsidRDefault="00C07F1C" w:rsidP="00C07F1C">
      <w:pPr>
        <w:spacing w:before="240"/>
        <w:jc w:val="both"/>
        <w:rPr>
          <w:b/>
          <w:bCs/>
          <w:lang w:val="en-US"/>
        </w:rPr>
      </w:pPr>
      <w:r w:rsidRPr="00C07F1C">
        <w:rPr>
          <w:bCs/>
        </w:rPr>
        <w:t xml:space="preserve">The document is an adoption of the CAC/GL 47-2003 GUIDELINES FOR FOOD IMPORT CONTROL SYSTEMS (Adopted 2003 Revision 2006) published by the Codex Alimentarius Commission with the </w:t>
      </w:r>
      <w:r>
        <w:rPr>
          <w:bCs/>
        </w:rPr>
        <w:t>following modification:</w:t>
      </w:r>
    </w:p>
    <w:p w:rsidR="00E2407D" w:rsidRPr="00C07F1C" w:rsidRDefault="00E2407D" w:rsidP="009B4C3A">
      <w:pPr>
        <w:jc w:val="both"/>
        <w:rPr>
          <w:bCs/>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7157"/>
      </w:tblGrid>
      <w:tr w:rsidR="00C6286B" w:rsidRPr="00C07F1C" w:rsidTr="00C6286B">
        <w:tc>
          <w:tcPr>
            <w:tcW w:w="1851" w:type="dxa"/>
          </w:tcPr>
          <w:p w:rsidR="00C6286B" w:rsidRPr="00C07F1C" w:rsidRDefault="00C6286B" w:rsidP="0034426A">
            <w:pPr>
              <w:widowControl w:val="0"/>
              <w:spacing w:before="36" w:after="200" w:line="276" w:lineRule="auto"/>
              <w:ind w:right="160"/>
              <w:rPr>
                <w:rFonts w:ascii="Calibri" w:eastAsia="Times New Roman" w:hAnsi="Calibri" w:cs="Arial"/>
                <w:lang w:val="en-US"/>
              </w:rPr>
            </w:pPr>
            <w:r w:rsidRPr="00C07F1C">
              <w:rPr>
                <w:rFonts w:ascii="Calibri" w:eastAsia="Times New Roman" w:hAnsi="Calibri" w:cs="Arial"/>
                <w:lang w:val="en-US"/>
              </w:rPr>
              <w:t>Section/para</w:t>
            </w:r>
          </w:p>
        </w:tc>
        <w:tc>
          <w:tcPr>
            <w:tcW w:w="7157" w:type="dxa"/>
          </w:tcPr>
          <w:p w:rsidR="00C6286B" w:rsidRPr="00C07F1C" w:rsidRDefault="00C6286B" w:rsidP="0034426A">
            <w:pPr>
              <w:widowControl w:val="0"/>
              <w:spacing w:before="36" w:after="200" w:line="276" w:lineRule="auto"/>
              <w:ind w:right="160"/>
              <w:jc w:val="center"/>
              <w:rPr>
                <w:rFonts w:ascii="Calibri" w:eastAsia="Times New Roman" w:hAnsi="Calibri" w:cs="Arial"/>
                <w:lang w:val="en-US"/>
              </w:rPr>
            </w:pPr>
            <w:r w:rsidRPr="00C07F1C">
              <w:rPr>
                <w:rFonts w:ascii="Calibri" w:eastAsia="Times New Roman" w:hAnsi="Calibri" w:cs="Arial"/>
                <w:lang w:val="en-US"/>
              </w:rPr>
              <w:t>Modification</w:t>
            </w:r>
          </w:p>
        </w:tc>
      </w:tr>
      <w:tr w:rsidR="00C6286B" w:rsidRPr="00C07F1C" w:rsidTr="00C6286B">
        <w:tc>
          <w:tcPr>
            <w:tcW w:w="1851" w:type="dxa"/>
          </w:tcPr>
          <w:p w:rsidR="00C6286B" w:rsidRPr="00C07F1C" w:rsidRDefault="00C6286B" w:rsidP="0034426A">
            <w:pPr>
              <w:widowControl w:val="0"/>
              <w:spacing w:before="36" w:line="240" w:lineRule="auto"/>
              <w:ind w:right="159"/>
              <w:rPr>
                <w:rFonts w:ascii="Calibri" w:eastAsia="Times New Roman" w:hAnsi="Calibri" w:cs="Arial"/>
                <w:lang w:val="en-US"/>
              </w:rPr>
            </w:pPr>
            <w:r w:rsidRPr="00C07F1C">
              <w:rPr>
                <w:rFonts w:ascii="Calibri" w:eastAsia="Times New Roman" w:hAnsi="Calibri" w:cs="Arial"/>
                <w:lang w:val="en-US"/>
              </w:rPr>
              <w:t xml:space="preserve">2. Definitions </w:t>
            </w:r>
          </w:p>
        </w:tc>
        <w:tc>
          <w:tcPr>
            <w:tcW w:w="7157" w:type="dxa"/>
          </w:tcPr>
          <w:p w:rsidR="00C6286B" w:rsidRPr="00C07F1C" w:rsidRDefault="00C6286B" w:rsidP="0034426A">
            <w:pPr>
              <w:widowControl w:val="0"/>
              <w:spacing w:before="36" w:line="240" w:lineRule="auto"/>
              <w:ind w:right="159"/>
              <w:jc w:val="both"/>
              <w:rPr>
                <w:rFonts w:ascii="Calibri" w:eastAsia="Times New Roman" w:hAnsi="Calibri" w:cs="Arial"/>
                <w:lang w:val="en-US"/>
              </w:rPr>
            </w:pPr>
            <w:r w:rsidRPr="00C07F1C">
              <w:rPr>
                <w:rFonts w:ascii="Calibri" w:eastAsia="Times New Roman" w:hAnsi="Calibri" w:cs="Arial"/>
                <w:lang w:val="en-US"/>
              </w:rPr>
              <w:t>Additional Definition</w:t>
            </w:r>
          </w:p>
          <w:p w:rsidR="00C6286B" w:rsidRPr="00C07F1C" w:rsidRDefault="00C6286B" w:rsidP="0034426A">
            <w:pPr>
              <w:widowControl w:val="0"/>
              <w:spacing w:before="36" w:line="240" w:lineRule="auto"/>
              <w:ind w:right="159"/>
              <w:jc w:val="both"/>
              <w:rPr>
                <w:rFonts w:ascii="Calibri" w:eastAsia="Times New Roman" w:hAnsi="Calibri" w:cs="Arial"/>
                <w:lang w:val="en-US"/>
              </w:rPr>
            </w:pPr>
            <w:r w:rsidRPr="00C07F1C">
              <w:rPr>
                <w:rFonts w:ascii="Calibri" w:eastAsia="Times New Roman" w:hAnsi="Calibri" w:cs="Arial"/>
                <w:b/>
                <w:lang w:val="en-US"/>
              </w:rPr>
              <w:t>Competent Authority</w:t>
            </w:r>
            <w:r w:rsidR="00C07F1C">
              <w:rPr>
                <w:rFonts w:ascii="Calibri" w:eastAsia="Times New Roman" w:hAnsi="Calibri" w:cs="Arial"/>
                <w:b/>
                <w:lang w:val="en-US"/>
              </w:rPr>
              <w:t xml:space="preserve"> </w:t>
            </w:r>
            <w:r w:rsidRPr="00C07F1C">
              <w:rPr>
                <w:rFonts w:ascii="Calibri" w:eastAsia="Times New Roman" w:hAnsi="Calibri" w:cs="Arial"/>
                <w:b/>
                <w:lang w:val="en-US"/>
              </w:rPr>
              <w:t>(ies)</w:t>
            </w:r>
            <w:r w:rsidRPr="00C07F1C">
              <w:rPr>
                <w:rFonts w:ascii="Calibri" w:eastAsia="Times New Roman" w:hAnsi="Calibri" w:cs="Arial"/>
                <w:lang w:val="en-US"/>
              </w:rPr>
              <w:t xml:space="preserve"> means the official govern</w:t>
            </w:r>
            <w:r w:rsidR="003676C1">
              <w:rPr>
                <w:rFonts w:ascii="Calibri" w:eastAsia="Times New Roman" w:hAnsi="Calibri" w:cs="Arial"/>
                <w:lang w:val="en-US"/>
              </w:rPr>
              <w:t>ment agency having jurisdiction</w:t>
            </w:r>
            <w:r w:rsidRPr="00C07F1C">
              <w:rPr>
                <w:rFonts w:ascii="Calibri" w:eastAsia="Times New Roman" w:hAnsi="Calibri" w:cs="Arial"/>
                <w:lang w:val="en-US"/>
              </w:rPr>
              <w:t>.</w:t>
            </w:r>
          </w:p>
        </w:tc>
      </w:tr>
    </w:tbl>
    <w:p w:rsidR="00C6286B" w:rsidRPr="00C07F1C" w:rsidRDefault="00C6286B" w:rsidP="002F2EA2">
      <w:pPr>
        <w:spacing w:before="240"/>
        <w:jc w:val="both"/>
        <w:rPr>
          <w:bCs/>
        </w:rPr>
      </w:pPr>
      <w:r w:rsidRPr="00C07F1C">
        <w:rPr>
          <w:b/>
          <w:bCs/>
        </w:rPr>
        <w:t>Explanation:</w:t>
      </w:r>
      <w:r w:rsidRPr="00C07F1C">
        <w:rPr>
          <w:bCs/>
        </w:rPr>
        <w:t xml:space="preserve"> The term “competent authority “is utilised in several instances in the document. A definition for “Competent Authority (ies)” has been included in order to establish a common interpretation and ensure consistency with other ASEAN Documents.</w:t>
      </w:r>
    </w:p>
    <w:p w:rsidR="00C07F1C" w:rsidRDefault="00C07F1C" w:rsidP="00E2407D">
      <w:pPr>
        <w:jc w:val="both"/>
      </w:pPr>
    </w:p>
    <w:p w:rsidR="00C07F1C" w:rsidRDefault="00C07F1C" w:rsidP="00E2407D">
      <w:pPr>
        <w:jc w:val="both"/>
      </w:pPr>
    </w:p>
    <w:p w:rsidR="00C07F1C" w:rsidRDefault="00C07F1C" w:rsidP="00E2407D">
      <w:pPr>
        <w:jc w:val="both"/>
      </w:pPr>
    </w:p>
    <w:p w:rsidR="00C07F1C" w:rsidRDefault="00C07F1C" w:rsidP="00E2407D">
      <w:pPr>
        <w:jc w:val="both"/>
      </w:pPr>
    </w:p>
    <w:p w:rsidR="00E2407D" w:rsidRPr="00C07F1C" w:rsidRDefault="00E2407D" w:rsidP="00E2407D">
      <w:pPr>
        <w:jc w:val="both"/>
      </w:pPr>
      <w:r w:rsidRPr="00C07F1C">
        <w:t>This document is one of the ASEAN Common Food Control Requirements (ACFCR).</w:t>
      </w:r>
    </w:p>
    <w:p w:rsidR="00C07F1C" w:rsidRDefault="00C07F1C" w:rsidP="005F0BC6"/>
    <w:p w:rsidR="00C07F1C" w:rsidRDefault="00C07F1C" w:rsidP="005F0BC6"/>
    <w:p w:rsidR="00C07F1C" w:rsidRDefault="00C07F1C" w:rsidP="005F0BC6"/>
    <w:p w:rsidR="00C07F1C" w:rsidRDefault="00C07F1C" w:rsidP="005F0BC6"/>
    <w:p w:rsidR="005F0BC6" w:rsidRPr="00C07F1C" w:rsidRDefault="005F0BC6" w:rsidP="005F0BC6">
      <w:r w:rsidRPr="00C07F1C">
        <w:t>July 2014</w:t>
      </w:r>
    </w:p>
    <w:p w:rsidR="005F0BC6" w:rsidRPr="00C07F1C" w:rsidRDefault="005F0BC6" w:rsidP="005F0BC6"/>
    <w:p w:rsidR="005F0BC6" w:rsidRPr="00C07F1C" w:rsidRDefault="005F0BC6" w:rsidP="005F0BC6"/>
    <w:p w:rsidR="005F0BC6" w:rsidRDefault="005F0BC6" w:rsidP="005F0BC6">
      <w:pPr>
        <w:sectPr w:rsidR="005F0BC6">
          <w:pgSz w:w="11906" w:h="16838"/>
          <w:pgMar w:top="1440" w:right="1440" w:bottom="1440" w:left="1440" w:header="708" w:footer="708" w:gutter="0"/>
          <w:cols w:space="708"/>
          <w:docGrid w:linePitch="360"/>
        </w:sectPr>
      </w:pPr>
    </w:p>
    <w:p w:rsidR="009D4356" w:rsidRPr="009D4356" w:rsidRDefault="009D4356" w:rsidP="005F0BC6">
      <w:pPr>
        <w:rPr>
          <w:b/>
        </w:rPr>
      </w:pPr>
      <w:r w:rsidRPr="009D4356">
        <w:rPr>
          <w:b/>
        </w:rPr>
        <w:lastRenderedPageBreak/>
        <w:t>ASEAN GUIDELINES FOR FOOD IMPORT CONTROL SYSTEMS</w:t>
      </w:r>
    </w:p>
    <w:p w:rsidR="009D4356" w:rsidRDefault="009D4356" w:rsidP="005F0BC6"/>
    <w:p w:rsidR="005F0BC6" w:rsidRPr="009D4356" w:rsidRDefault="005F0BC6" w:rsidP="005F0BC6">
      <w:pPr>
        <w:rPr>
          <w:b/>
        </w:rPr>
      </w:pPr>
      <w:r w:rsidRPr="009D4356">
        <w:rPr>
          <w:b/>
        </w:rPr>
        <w:t xml:space="preserve">SECTION 1 – SCOPE </w:t>
      </w:r>
    </w:p>
    <w:p w:rsidR="005F0BC6" w:rsidRDefault="005F0BC6" w:rsidP="009D4356">
      <w:pPr>
        <w:jc w:val="both"/>
      </w:pPr>
      <w:r>
        <w:t>1. This document provides a framework for the development and operation of an import control system to protect consumers and facilitate fair practices in food trade while ensuring unjustified technical barriers to trade are not introduced. The Guideline is consistent with the Codex Principles for Food Import and Export Inspection and Certification</w:t>
      </w:r>
      <w:r>
        <w:rPr>
          <w:rStyle w:val="FootnoteReference"/>
        </w:rPr>
        <w:footnoteReference w:id="1"/>
      </w:r>
      <w:r>
        <w:t>1 and provides specific information about imported food control that is an adjunct to the Guidelines for the Design, Operation, Assessment and Accreditation of Food Import and Export Inspection and Certification Systems</w:t>
      </w:r>
      <w:r>
        <w:rPr>
          <w:rStyle w:val="FootnoteReference"/>
        </w:rPr>
        <w:footnoteReference w:id="2"/>
      </w:r>
      <w:r>
        <w:t xml:space="preserve">. </w:t>
      </w:r>
    </w:p>
    <w:p w:rsidR="005F0BC6" w:rsidRDefault="005F0BC6" w:rsidP="005F0BC6"/>
    <w:p w:rsidR="005F0BC6" w:rsidRPr="009D4356" w:rsidRDefault="005F0BC6" w:rsidP="005F0BC6">
      <w:pPr>
        <w:rPr>
          <w:b/>
        </w:rPr>
      </w:pPr>
      <w:r w:rsidRPr="009D4356">
        <w:rPr>
          <w:b/>
        </w:rPr>
        <w:t>SECTION 2 – DEFINITIONS</w:t>
      </w:r>
      <w:r w:rsidRPr="009D4356">
        <w:rPr>
          <w:rStyle w:val="FootnoteReference"/>
          <w:b/>
        </w:rPr>
        <w:footnoteReference w:id="3"/>
      </w:r>
      <w:r w:rsidRPr="009D4356">
        <w:rPr>
          <w:b/>
        </w:rPr>
        <w:t xml:space="preserve"> </w:t>
      </w:r>
    </w:p>
    <w:p w:rsidR="005F0BC6" w:rsidRDefault="005F0BC6" w:rsidP="009B420E">
      <w:pPr>
        <w:jc w:val="both"/>
      </w:pPr>
      <w:r w:rsidRPr="005F0BC6">
        <w:rPr>
          <w:b/>
        </w:rPr>
        <w:t>Appropriate Level of Protection (ALOP)</w:t>
      </w:r>
      <w:r>
        <w:t xml:space="preserve"> is the level of protection deemed appropriate by the country establishing a sanitary measure to protect human life or health within its territory. (This concept may otherwise be referred to as the “acceptable level of risk”.) </w:t>
      </w:r>
    </w:p>
    <w:p w:rsidR="005F0BC6" w:rsidRDefault="00A359E6" w:rsidP="009B420E">
      <w:pPr>
        <w:jc w:val="both"/>
      </w:pPr>
      <w:r>
        <w:rPr>
          <w:b/>
        </w:rPr>
        <w:t>Audit</w:t>
      </w:r>
      <w:r w:rsidR="005F0BC6">
        <w:t xml:space="preserve"> is a systematic and functionally independent examination to determine whether activities and related results comply with planned objectives. </w:t>
      </w:r>
    </w:p>
    <w:p w:rsidR="005F0BC6" w:rsidRDefault="00A359E6" w:rsidP="009B420E">
      <w:pPr>
        <w:jc w:val="both"/>
      </w:pPr>
      <w:r>
        <w:rPr>
          <w:b/>
        </w:rPr>
        <w:t>Certification</w:t>
      </w:r>
      <w:r w:rsidR="005F0BC6">
        <w:t xml:space="preserve"> is the procedure by which official certification bodies and officially recognized bodies provide written or equivalent assurance that foods or food control systems conform to requirements. Certification of food may be, as appropriate, based on a range of inspection activities which may include continuous on-line inspection, auditing of quality assurance systems, and examination of finished products. </w:t>
      </w:r>
    </w:p>
    <w:p w:rsidR="00C6286B" w:rsidRDefault="00C6286B" w:rsidP="009B420E">
      <w:pPr>
        <w:jc w:val="both"/>
      </w:pPr>
      <w:r w:rsidRPr="00C6286B">
        <w:rPr>
          <w:b/>
          <w:lang w:val="en-US"/>
        </w:rPr>
        <w:t>Competent Authority</w:t>
      </w:r>
      <w:r w:rsidR="00C07F1C">
        <w:rPr>
          <w:b/>
          <w:lang w:val="en-US"/>
        </w:rPr>
        <w:t xml:space="preserve"> </w:t>
      </w:r>
      <w:r w:rsidRPr="00C6286B">
        <w:rPr>
          <w:b/>
          <w:lang w:val="en-US"/>
        </w:rPr>
        <w:t>(ies)</w:t>
      </w:r>
      <w:r w:rsidRPr="00C6286B">
        <w:rPr>
          <w:lang w:val="en-US"/>
        </w:rPr>
        <w:t xml:space="preserve"> means the official govern</w:t>
      </w:r>
      <w:r w:rsidR="00DE46E2">
        <w:rPr>
          <w:lang w:val="en-US"/>
        </w:rPr>
        <w:t>ment agency having jurisdiction</w:t>
      </w:r>
      <w:r w:rsidRPr="00C6286B">
        <w:rPr>
          <w:lang w:val="en-US"/>
        </w:rPr>
        <w:t>.</w:t>
      </w:r>
    </w:p>
    <w:p w:rsidR="005F0BC6" w:rsidRDefault="00A359E6" w:rsidP="009B420E">
      <w:pPr>
        <w:jc w:val="both"/>
      </w:pPr>
      <w:r>
        <w:rPr>
          <w:b/>
        </w:rPr>
        <w:t>Inspection</w:t>
      </w:r>
      <w:r w:rsidR="005F0BC6">
        <w:t xml:space="preserve"> is the examination of food or systems for control of food, raw materials, processing and distribution, including in-process and finished product testing, in order to verify that they conform to requirements. </w:t>
      </w:r>
    </w:p>
    <w:p w:rsidR="005F0BC6" w:rsidRDefault="00A359E6" w:rsidP="009B420E">
      <w:pPr>
        <w:jc w:val="both"/>
      </w:pPr>
      <w:r>
        <w:rPr>
          <w:b/>
        </w:rPr>
        <w:t>Legislation</w:t>
      </w:r>
      <w:r w:rsidR="005F0BC6">
        <w:t xml:space="preserve"> includes acts, regulations, requirements or procedures, issued by public authorities, related to foods and covering the protection of public health, the protection of consumers and conditions of fair trading. </w:t>
      </w:r>
    </w:p>
    <w:p w:rsidR="005F0BC6" w:rsidRDefault="00A359E6" w:rsidP="009B420E">
      <w:pPr>
        <w:jc w:val="both"/>
      </w:pPr>
      <w:r>
        <w:rPr>
          <w:b/>
        </w:rPr>
        <w:t>Official accreditation</w:t>
      </w:r>
      <w:r w:rsidR="005F0BC6">
        <w:t xml:space="preserve"> is the procedure by which a government agency having jurisdiction formally recognizes the competence of an inspection and/or certification body to provide inspection and certification services. </w:t>
      </w:r>
    </w:p>
    <w:p w:rsidR="005F0BC6" w:rsidRDefault="005F0BC6" w:rsidP="009B420E">
      <w:pPr>
        <w:jc w:val="both"/>
      </w:pPr>
      <w:r w:rsidRPr="005F0BC6">
        <w:rPr>
          <w:b/>
        </w:rPr>
        <w:t>Official inspection systems and</w:t>
      </w:r>
      <w:r w:rsidR="00A359E6">
        <w:rPr>
          <w:b/>
        </w:rPr>
        <w:t xml:space="preserve"> official certification systems</w:t>
      </w:r>
      <w:r w:rsidRPr="005F0BC6">
        <w:rPr>
          <w:b/>
        </w:rPr>
        <w:t xml:space="preserve"> </w:t>
      </w:r>
      <w:r>
        <w:t xml:space="preserve">are systems administered by a government agency having jurisdiction empowered to perform a regulatory or enforcement function or both. </w:t>
      </w:r>
    </w:p>
    <w:p w:rsidR="005F0BC6" w:rsidRDefault="005F0BC6" w:rsidP="009B420E">
      <w:pPr>
        <w:jc w:val="both"/>
      </w:pPr>
      <w:r w:rsidRPr="005F0BC6">
        <w:rPr>
          <w:b/>
        </w:rPr>
        <w:t>Officially recognized inspection systems and officially r</w:t>
      </w:r>
      <w:r w:rsidR="00A359E6">
        <w:rPr>
          <w:b/>
        </w:rPr>
        <w:t>ecognized certification systems</w:t>
      </w:r>
      <w:r w:rsidRPr="005F0BC6">
        <w:rPr>
          <w:b/>
        </w:rPr>
        <w:t xml:space="preserve"> </w:t>
      </w:r>
      <w:r>
        <w:t xml:space="preserve">are systems which have been formally approved or recognized by a government agency having jurisdiction. </w:t>
      </w:r>
    </w:p>
    <w:p w:rsidR="005F0BC6" w:rsidRDefault="00A359E6" w:rsidP="009B420E">
      <w:pPr>
        <w:jc w:val="both"/>
      </w:pPr>
      <w:r>
        <w:rPr>
          <w:b/>
        </w:rPr>
        <w:lastRenderedPageBreak/>
        <w:t>Requirements</w:t>
      </w:r>
      <w:r w:rsidR="005F0BC6">
        <w:t xml:space="preserve"> are the criteria set down by the competent authorities relating to trade in foodstuffs covering the protection of public health, the protection of consumers and conditions of fair trading. </w:t>
      </w:r>
    </w:p>
    <w:p w:rsidR="005F0BC6" w:rsidRDefault="00A359E6" w:rsidP="009B420E">
      <w:pPr>
        <w:jc w:val="both"/>
      </w:pPr>
      <w:r>
        <w:rPr>
          <w:b/>
        </w:rPr>
        <w:t>Risk assessment</w:t>
      </w:r>
      <w:r w:rsidR="005F0BC6">
        <w:t xml:space="preserve"> A scientifically based process consisting of the following steps (i) hazard identification, (ii) hazard characterisation, (iii) exposure assessment, and (iv) risk characterisation. </w:t>
      </w:r>
    </w:p>
    <w:p w:rsidR="005F0BC6" w:rsidRDefault="00A359E6" w:rsidP="009B420E">
      <w:pPr>
        <w:jc w:val="both"/>
      </w:pPr>
      <w:r>
        <w:rPr>
          <w:b/>
        </w:rPr>
        <w:t>Risk analysis</w:t>
      </w:r>
      <w:r w:rsidR="005F0BC6">
        <w:t xml:space="preserve"> A process consisting of three components: risk assessment, risk management and risk communication. </w:t>
      </w:r>
    </w:p>
    <w:p w:rsidR="005F0BC6" w:rsidRDefault="005F0BC6" w:rsidP="009B420E">
      <w:pPr>
        <w:jc w:val="both"/>
      </w:pPr>
    </w:p>
    <w:p w:rsidR="005F0BC6" w:rsidRPr="005F0BC6" w:rsidRDefault="005F0BC6" w:rsidP="009B420E">
      <w:pPr>
        <w:jc w:val="both"/>
        <w:rPr>
          <w:b/>
        </w:rPr>
      </w:pPr>
      <w:r w:rsidRPr="005F0BC6">
        <w:rPr>
          <w:b/>
        </w:rPr>
        <w:t xml:space="preserve">SECTION 3 – GENERAL CHARACTERISTICS OF FOOD IMPORT CONTROL SYSTEMS </w:t>
      </w:r>
    </w:p>
    <w:p w:rsidR="005F0BC6" w:rsidRDefault="005F0BC6" w:rsidP="009B420E">
      <w:pPr>
        <w:jc w:val="both"/>
      </w:pPr>
      <w:r>
        <w:t xml:space="preserve">2. Food import control systems should have the following main characteristics: </w:t>
      </w:r>
    </w:p>
    <w:p w:rsidR="005F0BC6" w:rsidRDefault="005F0BC6" w:rsidP="009B420E">
      <w:pPr>
        <w:jc w:val="both"/>
      </w:pPr>
      <w:r>
        <w:t xml:space="preserve">– requirements for imported food that are consistent with requirements for </w:t>
      </w:r>
    </w:p>
    <w:p w:rsidR="005F0BC6" w:rsidRDefault="005F0BC6" w:rsidP="009B420E">
      <w:pPr>
        <w:jc w:val="both"/>
      </w:pPr>
      <w:r>
        <w:t xml:space="preserve">domestic foods; </w:t>
      </w:r>
    </w:p>
    <w:p w:rsidR="005F0BC6" w:rsidRDefault="005F0BC6" w:rsidP="009B420E">
      <w:pPr>
        <w:jc w:val="both"/>
      </w:pPr>
      <w:r>
        <w:t xml:space="preserve">– clearly defined responsibilities for the competent authority or authorities; </w:t>
      </w:r>
    </w:p>
    <w:p w:rsidR="005F0BC6" w:rsidRDefault="005F0BC6" w:rsidP="009B420E">
      <w:pPr>
        <w:jc w:val="both"/>
      </w:pPr>
      <w:r>
        <w:t xml:space="preserve">– clearly defined and transparent legislation and operating procedures; </w:t>
      </w:r>
    </w:p>
    <w:p w:rsidR="005F0BC6" w:rsidRDefault="005F0BC6" w:rsidP="009B420E">
      <w:pPr>
        <w:jc w:val="both"/>
      </w:pPr>
      <w:r>
        <w:t xml:space="preserve">– precedence to the protection of consumers; </w:t>
      </w:r>
    </w:p>
    <w:p w:rsidR="005F0BC6" w:rsidRDefault="005F0BC6" w:rsidP="009B420E">
      <w:pPr>
        <w:jc w:val="both"/>
      </w:pPr>
      <w:r>
        <w:t xml:space="preserve">– provision of the importing country for recognition of the food control system applied by an exporting country’s competent authority; </w:t>
      </w:r>
    </w:p>
    <w:p w:rsidR="005F0BC6" w:rsidRDefault="005F0BC6" w:rsidP="009B420E">
      <w:pPr>
        <w:jc w:val="both"/>
      </w:pPr>
      <w:r>
        <w:t xml:space="preserve">– uniform nationwide implementation; </w:t>
      </w:r>
    </w:p>
    <w:p w:rsidR="005F0BC6" w:rsidRDefault="005F0BC6" w:rsidP="009B420E">
      <w:pPr>
        <w:jc w:val="both"/>
      </w:pPr>
      <w:r>
        <w:t xml:space="preserve">– implementation that ensures the levels of protection achieved are consistent with those for domestic food. </w:t>
      </w:r>
    </w:p>
    <w:p w:rsidR="005F0BC6" w:rsidRPr="009D4356" w:rsidRDefault="005F0BC6" w:rsidP="009B420E">
      <w:pPr>
        <w:jc w:val="both"/>
        <w:rPr>
          <w:b/>
        </w:rPr>
      </w:pPr>
      <w:r w:rsidRPr="009D4356">
        <w:rPr>
          <w:b/>
        </w:rPr>
        <w:t xml:space="preserve">Requirements for imported food that are consistent with requirements for domestic foods </w:t>
      </w:r>
    </w:p>
    <w:p w:rsidR="005F0BC6" w:rsidRDefault="005F0BC6" w:rsidP="009B420E">
      <w:pPr>
        <w:jc w:val="both"/>
      </w:pPr>
      <w:r>
        <w:t xml:space="preserve">3. Requirements are commonly expressed as end-point standards with specific limits and complementary sampling regimes. These requirements may consist of standards, provisions for sampling, process controls, conditions of production, transport, storage, or a combination of these. </w:t>
      </w:r>
    </w:p>
    <w:p w:rsidR="005F0BC6" w:rsidRDefault="005F0BC6" w:rsidP="009B420E">
      <w:pPr>
        <w:jc w:val="both"/>
      </w:pPr>
      <w:r>
        <w:t xml:space="preserve">4. The extent and stringency of requirements applied in specific circumstances should be proportionate to risk, noting that risk may vary from one source to another because of factors such as specific and/or similar situations in the region of origin, technology employed, compliance history, etc. and/or examination of relevant attributes of a sample of products at import. </w:t>
      </w:r>
    </w:p>
    <w:p w:rsidR="005F0BC6" w:rsidRDefault="005F0BC6" w:rsidP="009B420E">
      <w:pPr>
        <w:jc w:val="both"/>
      </w:pPr>
      <w:r>
        <w:t>5. As far as possible, requirements should be applied equally to domestically produced and imported food. Where domestic requirements include process controls such as good manufacturing practices, compliance may be determined or equivalence confirmed by auditing the relevant inspection and certification systems and, as appropriate, the facilities and procedures in the exporting country</w:t>
      </w:r>
      <w:r w:rsidR="00661DDF">
        <w:rPr>
          <w:rStyle w:val="FootnoteReference"/>
        </w:rPr>
        <w:footnoteReference w:id="4"/>
      </w:r>
    </w:p>
    <w:p w:rsidR="005F0BC6" w:rsidRPr="00661DDF" w:rsidRDefault="005F0BC6" w:rsidP="009B420E">
      <w:pPr>
        <w:jc w:val="both"/>
        <w:rPr>
          <w:b/>
        </w:rPr>
      </w:pPr>
      <w:r w:rsidRPr="00661DDF">
        <w:rPr>
          <w:b/>
        </w:rPr>
        <w:t xml:space="preserve">Clearly defined responsibilities of competent authority or authorities </w:t>
      </w:r>
    </w:p>
    <w:p w:rsidR="005F0BC6" w:rsidRDefault="005F0BC6" w:rsidP="009B420E">
      <w:pPr>
        <w:jc w:val="both"/>
      </w:pPr>
      <w:r>
        <w:t xml:space="preserve">6. The competent authority(ies) involved in any of the imported food inspection functions at the point or points of entry, during storage and distribution and/or at point of sale, should have clearly defined responsibilities and authority. Multiple inspection and duplicative testing for the same analyte(s) on the same consignment should be avoided to the extent possible. </w:t>
      </w:r>
    </w:p>
    <w:p w:rsidR="005F0BC6" w:rsidRDefault="005F0BC6" w:rsidP="009B420E">
      <w:pPr>
        <w:jc w:val="both"/>
      </w:pPr>
      <w:r>
        <w:lastRenderedPageBreak/>
        <w:t xml:space="preserve">7. Some countries, for example those that are part of a regional economic grouping, may rely on import controls implemented by another country. In such cases, the functions, responsibilities, and operating procedures undertaken by the country which conducts the imported food control should be clearly defined and accessible to authorities in the country or countries of final destination with the aim of delivering an efficient and transparent import control system. </w:t>
      </w:r>
    </w:p>
    <w:p w:rsidR="005F0BC6" w:rsidRDefault="005F0BC6" w:rsidP="009B420E">
      <w:pPr>
        <w:jc w:val="both"/>
      </w:pPr>
      <w:r>
        <w:t xml:space="preserve">8. Where the competent authorities of an importing country use third party providers as officially recognised inspection bodies and/or officially recognized certification bodies to implement controls, such arrangements should be conducted in the manner discussed in CAC/GL 26-1997, Section 8, Official Accreditation. The functions that can be conducted by such providers may include: </w:t>
      </w:r>
    </w:p>
    <w:p w:rsidR="005F0BC6" w:rsidRDefault="005F0BC6" w:rsidP="009B420E">
      <w:pPr>
        <w:jc w:val="both"/>
      </w:pPr>
      <w:r>
        <w:t xml:space="preserve">– sampling of target consignments; </w:t>
      </w:r>
    </w:p>
    <w:p w:rsidR="005F0BC6" w:rsidRDefault="005F0BC6" w:rsidP="009B420E">
      <w:pPr>
        <w:jc w:val="both"/>
      </w:pPr>
      <w:r>
        <w:t xml:space="preserve">– analysis of samples; </w:t>
      </w:r>
    </w:p>
    <w:p w:rsidR="005F0BC6" w:rsidRDefault="005F0BC6" w:rsidP="009B420E">
      <w:pPr>
        <w:jc w:val="both"/>
      </w:pPr>
      <w:r>
        <w:t xml:space="preserve">– compliance evaluation of relevant parts or all of a quality assurance system that may be operated by importers in order to comply with official requirements. </w:t>
      </w:r>
    </w:p>
    <w:p w:rsidR="005F0BC6" w:rsidRPr="00661DDF" w:rsidRDefault="005F0BC6" w:rsidP="009B420E">
      <w:pPr>
        <w:jc w:val="both"/>
        <w:rPr>
          <w:b/>
        </w:rPr>
      </w:pPr>
      <w:r w:rsidRPr="00661DDF">
        <w:rPr>
          <w:b/>
        </w:rPr>
        <w:t xml:space="preserve">Clearly defined and transparent legislation and operating procedures </w:t>
      </w:r>
    </w:p>
    <w:p w:rsidR="005F0BC6" w:rsidRDefault="005F0BC6" w:rsidP="009B420E">
      <w:pPr>
        <w:jc w:val="both"/>
      </w:pPr>
      <w:r>
        <w:t xml:space="preserve">9. The object of legislation is to provide the basis and the authority for operating a food import control system. The legal framework allows for the establishment of the competent authority(ies) and the processes and procedures required to verify the conformity of imported products against requirements. </w:t>
      </w:r>
    </w:p>
    <w:p w:rsidR="005F0BC6" w:rsidRDefault="005F0BC6" w:rsidP="009B420E">
      <w:pPr>
        <w:jc w:val="both"/>
      </w:pPr>
      <w:r>
        <w:t xml:space="preserve">10. Legislation should provide the competent authority with the ability to: </w:t>
      </w:r>
    </w:p>
    <w:p w:rsidR="005F0BC6" w:rsidRDefault="005F0BC6" w:rsidP="009B420E">
      <w:pPr>
        <w:jc w:val="both"/>
      </w:pPr>
      <w:r>
        <w:t xml:space="preserve">– appoint authorised officers; </w:t>
      </w:r>
    </w:p>
    <w:p w:rsidR="005F0BC6" w:rsidRDefault="005F0BC6" w:rsidP="009B420E">
      <w:pPr>
        <w:jc w:val="both"/>
      </w:pPr>
      <w:r>
        <w:t xml:space="preserve">– require prior notification of the importation of a consignment of a foodstuff; </w:t>
      </w:r>
    </w:p>
    <w:p w:rsidR="005F0BC6" w:rsidRDefault="005F0BC6" w:rsidP="009B420E">
      <w:pPr>
        <w:jc w:val="both"/>
      </w:pPr>
      <w:r>
        <w:t xml:space="preserve">– require documentation; </w:t>
      </w:r>
    </w:p>
    <w:p w:rsidR="005F0BC6" w:rsidRDefault="005F0BC6" w:rsidP="009B420E">
      <w:pPr>
        <w:jc w:val="both"/>
      </w:pPr>
      <w:r>
        <w:t xml:space="preserve">– inspect, including the authority to enter premises within the importing country, physically examine the food and its packaging; collect samples and initiate analytical testing; inspection of documentation provided by an exporting country authority, exporter or importer; and verification of product identity against documentary attestations; </w:t>
      </w:r>
    </w:p>
    <w:p w:rsidR="005F0BC6" w:rsidRDefault="005F0BC6" w:rsidP="009B420E">
      <w:pPr>
        <w:jc w:val="both"/>
      </w:pPr>
      <w:r>
        <w:t xml:space="preserve">– apply risk-based sampling plans, taking into consideration the compliance history of the particular food, the validity of accompanying certification, and other relevant information; </w:t>
      </w:r>
    </w:p>
    <w:p w:rsidR="005F0BC6" w:rsidRDefault="005F0BC6" w:rsidP="009B420E">
      <w:pPr>
        <w:jc w:val="both"/>
      </w:pPr>
      <w:r>
        <w:t xml:space="preserve">– charge fees for the inspection of consignments and sample analysis; </w:t>
      </w:r>
    </w:p>
    <w:p w:rsidR="005F0BC6" w:rsidRDefault="005F0BC6" w:rsidP="009B420E">
      <w:pPr>
        <w:jc w:val="both"/>
      </w:pPr>
      <w:r>
        <w:t xml:space="preserve">– recognize accredited or accredit laboratories; </w:t>
      </w:r>
    </w:p>
    <w:p w:rsidR="005F0BC6" w:rsidRDefault="005F0BC6" w:rsidP="009B420E">
      <w:pPr>
        <w:jc w:val="both"/>
      </w:pPr>
      <w:r>
        <w:t xml:space="preserve">– accept; reject; detain; destroy; order to destroy; order reconditioning, processing, or re-export; return to country of export; designate as non-food use; </w:t>
      </w:r>
    </w:p>
    <w:p w:rsidR="005F0BC6" w:rsidRDefault="005F0BC6" w:rsidP="009B420E">
      <w:pPr>
        <w:jc w:val="both"/>
      </w:pPr>
      <w:r>
        <w:t xml:space="preserve">– recall consignments following importation; </w:t>
      </w:r>
    </w:p>
    <w:p w:rsidR="005F0BC6" w:rsidRDefault="005F0BC6" w:rsidP="009B420E">
      <w:pPr>
        <w:jc w:val="both"/>
      </w:pPr>
      <w:r>
        <w:t xml:space="preserve">– retain control over consignments in transit during intra-national transport or during storage prior to import clearance; and, </w:t>
      </w:r>
    </w:p>
    <w:p w:rsidR="005F0BC6" w:rsidRDefault="005F0BC6" w:rsidP="009B420E">
      <w:pPr>
        <w:jc w:val="both"/>
      </w:pPr>
      <w:r>
        <w:t xml:space="preserve">– implement administrative and/or judicial measures when the specific requirements are not satisfied. </w:t>
      </w:r>
    </w:p>
    <w:p w:rsidR="005F0BC6" w:rsidRDefault="005F0BC6" w:rsidP="009B420E">
      <w:pPr>
        <w:jc w:val="both"/>
      </w:pPr>
      <w:r>
        <w:t xml:space="preserve">11. In addition, the legislation may make provisions for: </w:t>
      </w:r>
    </w:p>
    <w:p w:rsidR="005F0BC6" w:rsidRDefault="005F0BC6" w:rsidP="009B420E">
      <w:pPr>
        <w:jc w:val="both"/>
      </w:pPr>
      <w:r>
        <w:lastRenderedPageBreak/>
        <w:t xml:space="preserve">– licensing or registration of importers; </w:t>
      </w:r>
    </w:p>
    <w:p w:rsidR="005F0BC6" w:rsidRDefault="005F0BC6" w:rsidP="009B420E">
      <w:pPr>
        <w:jc w:val="both"/>
      </w:pPr>
      <w:r>
        <w:t xml:space="preserve">– recognition of verification systems used by importers; </w:t>
      </w:r>
    </w:p>
    <w:p w:rsidR="005F0BC6" w:rsidRDefault="005F0BC6" w:rsidP="009B420E">
      <w:pPr>
        <w:jc w:val="both"/>
      </w:pPr>
      <w:r>
        <w:t xml:space="preserve">– an appeal mechanism against official actions; </w:t>
      </w:r>
    </w:p>
    <w:p w:rsidR="005F0BC6" w:rsidRDefault="005F0BC6" w:rsidP="009B420E">
      <w:pPr>
        <w:jc w:val="both"/>
      </w:pPr>
      <w:r>
        <w:t xml:space="preserve">– assessing the control system of the exporting country; and </w:t>
      </w:r>
    </w:p>
    <w:p w:rsidR="005F0BC6" w:rsidRDefault="005F0BC6" w:rsidP="009B420E">
      <w:pPr>
        <w:jc w:val="both"/>
      </w:pPr>
      <w:r>
        <w:t xml:space="preserve">– certification and/or inspection arrangements with competent authorities of exporting countries. </w:t>
      </w:r>
    </w:p>
    <w:p w:rsidR="005F0BC6" w:rsidRPr="00661DDF" w:rsidRDefault="005F0BC6" w:rsidP="009B420E">
      <w:pPr>
        <w:jc w:val="both"/>
        <w:rPr>
          <w:b/>
        </w:rPr>
      </w:pPr>
      <w:r w:rsidRPr="00661DDF">
        <w:rPr>
          <w:b/>
        </w:rPr>
        <w:t xml:space="preserve">Precedence to the protection of consumers </w:t>
      </w:r>
    </w:p>
    <w:p w:rsidR="005F0BC6" w:rsidRDefault="005F0BC6" w:rsidP="009B420E">
      <w:pPr>
        <w:jc w:val="both"/>
      </w:pPr>
      <w:r>
        <w:t xml:space="preserve">12. In the design and operation of food import control systems, precedence should be given to protecting the health of consumers and ensuring fair practices in food trade over economic or other trade considerations. </w:t>
      </w:r>
    </w:p>
    <w:p w:rsidR="005F0BC6" w:rsidRPr="00661DDF" w:rsidRDefault="005F0BC6" w:rsidP="009B420E">
      <w:pPr>
        <w:jc w:val="both"/>
        <w:rPr>
          <w:b/>
        </w:rPr>
      </w:pPr>
      <w:r w:rsidRPr="00661DDF">
        <w:rPr>
          <w:b/>
        </w:rPr>
        <w:t xml:space="preserve">Provision of the importing country for recognition of the food control system applied by an exporting country’s competent authority </w:t>
      </w:r>
    </w:p>
    <w:p w:rsidR="005F0BC6" w:rsidRDefault="005F0BC6" w:rsidP="009B420E">
      <w:pPr>
        <w:jc w:val="both"/>
      </w:pPr>
      <w:r>
        <w:t xml:space="preserve">13. Food import control systems should include provisions for recognition as appropriate of the food control system applied by an exporting country’s competent authority. Importing countries can recognise the food safety controls of an exporting country in a number of ways that facilitate the entry of goods, including the use of memoranda of understanding, mutual recognition agreements and equivalence agreements and unilateral recognition. Such recognition should, as appropriate, include controls applied during the production, manufacture, importation, processing, storage, and transportation of the food products, and verification of the export food control system applied. </w:t>
      </w:r>
    </w:p>
    <w:p w:rsidR="005F0BC6" w:rsidRPr="00661DDF" w:rsidRDefault="005F0BC6" w:rsidP="009B420E">
      <w:pPr>
        <w:jc w:val="both"/>
        <w:rPr>
          <w:b/>
        </w:rPr>
      </w:pPr>
      <w:r w:rsidRPr="00661DDF">
        <w:rPr>
          <w:b/>
        </w:rPr>
        <w:t xml:space="preserve">Uniform nation-wide implementation </w:t>
      </w:r>
    </w:p>
    <w:p w:rsidR="005F0BC6" w:rsidRDefault="005F0BC6" w:rsidP="009B420E">
      <w:pPr>
        <w:jc w:val="both"/>
      </w:pPr>
      <w:r>
        <w:t xml:space="preserve">14. Uniformity of operational procedures is particularly important. Programmes and training manuals should be developed and implemented to assure uniform application at all points of entry and by all inspection staff. </w:t>
      </w:r>
    </w:p>
    <w:p w:rsidR="005F0BC6" w:rsidRPr="00661DDF" w:rsidRDefault="005F0BC6" w:rsidP="009B420E">
      <w:pPr>
        <w:jc w:val="both"/>
        <w:rPr>
          <w:b/>
        </w:rPr>
      </w:pPr>
      <w:r w:rsidRPr="00661DDF">
        <w:rPr>
          <w:b/>
        </w:rPr>
        <w:t xml:space="preserve">Implementation that ensures the levels of protection achieved are consistent with those for domestic food </w:t>
      </w:r>
    </w:p>
    <w:p w:rsidR="005F0BC6" w:rsidRDefault="005F0BC6" w:rsidP="009B420E">
      <w:pPr>
        <w:jc w:val="both"/>
      </w:pPr>
      <w:r>
        <w:t xml:space="preserve">15. As an importing country has no direct jurisdiction over process controls applied to food manufactured in another country, there may be a variation in approach to the compliance monitoring of domestic and imported food. Such differences in approach are justifiable provided they are necessary to ensure that the level of protection achieved is consistent with that of domestically produced food. </w:t>
      </w:r>
    </w:p>
    <w:p w:rsidR="005F0BC6" w:rsidRDefault="005F0BC6" w:rsidP="009B420E">
      <w:pPr>
        <w:jc w:val="both"/>
      </w:pPr>
    </w:p>
    <w:p w:rsidR="005F0BC6" w:rsidRPr="00661DDF" w:rsidRDefault="005F0BC6" w:rsidP="009B420E">
      <w:pPr>
        <w:jc w:val="both"/>
        <w:rPr>
          <w:b/>
        </w:rPr>
      </w:pPr>
      <w:r w:rsidRPr="00661DDF">
        <w:rPr>
          <w:b/>
        </w:rPr>
        <w:t xml:space="preserve">SECTION 4 – IMPLEMENTATION OF THE CONTROL SYSTEM </w:t>
      </w:r>
    </w:p>
    <w:p w:rsidR="005F0BC6" w:rsidRDefault="005F0BC6" w:rsidP="009B420E">
      <w:pPr>
        <w:jc w:val="both"/>
      </w:pPr>
      <w:r>
        <w:t xml:space="preserve">16. Operational procedures should be developed and implemented to minimize undue delay at the point or points of entry without jeopardizing effectiveness of controls to meet requirements. Implementation should take into account the factors listed in this section and the possibility of recognizing guarantees at origin that includes implementation of controls in the exporting countries. </w:t>
      </w:r>
    </w:p>
    <w:p w:rsidR="005F0BC6" w:rsidRPr="00661DDF" w:rsidRDefault="005F0BC6" w:rsidP="009B420E">
      <w:pPr>
        <w:jc w:val="both"/>
        <w:rPr>
          <w:b/>
        </w:rPr>
      </w:pPr>
      <w:r w:rsidRPr="00661DDF">
        <w:rPr>
          <w:b/>
        </w:rPr>
        <w:t xml:space="preserve">Point of control </w:t>
      </w:r>
    </w:p>
    <w:p w:rsidR="005F0BC6" w:rsidRDefault="005F0BC6" w:rsidP="009B420E">
      <w:pPr>
        <w:jc w:val="both"/>
      </w:pPr>
      <w:r>
        <w:t xml:space="preserve">17. Control of imported food by the importing country can be conducted at one or more points including the points of: </w:t>
      </w:r>
    </w:p>
    <w:p w:rsidR="005F0BC6" w:rsidRDefault="005F0BC6" w:rsidP="009B420E">
      <w:pPr>
        <w:jc w:val="both"/>
      </w:pPr>
      <w:r>
        <w:t xml:space="preserve">– origin, where agreed upon with the exporting country; </w:t>
      </w:r>
    </w:p>
    <w:p w:rsidR="005F0BC6" w:rsidRDefault="005F0BC6" w:rsidP="009B420E">
      <w:pPr>
        <w:jc w:val="both"/>
      </w:pPr>
      <w:r>
        <w:lastRenderedPageBreak/>
        <w:t xml:space="preserve">– entry to the country of destination; </w:t>
      </w:r>
    </w:p>
    <w:p w:rsidR="005F0BC6" w:rsidRDefault="005F0BC6" w:rsidP="009B420E">
      <w:pPr>
        <w:jc w:val="both"/>
      </w:pPr>
      <w:r>
        <w:t xml:space="preserve">– further processing; </w:t>
      </w:r>
    </w:p>
    <w:p w:rsidR="005F0BC6" w:rsidRDefault="005F0BC6" w:rsidP="009B420E">
      <w:pPr>
        <w:jc w:val="both"/>
      </w:pPr>
      <w:r>
        <w:t xml:space="preserve">– transport and distribution; </w:t>
      </w:r>
    </w:p>
    <w:p w:rsidR="005F0BC6" w:rsidRDefault="005F0BC6" w:rsidP="009B420E">
      <w:pPr>
        <w:jc w:val="both"/>
      </w:pPr>
      <w:r>
        <w:t xml:space="preserve">– storage; and, </w:t>
      </w:r>
    </w:p>
    <w:p w:rsidR="005F0BC6" w:rsidRDefault="005F0BC6" w:rsidP="009B420E">
      <w:pPr>
        <w:jc w:val="both"/>
      </w:pPr>
      <w:r>
        <w:t xml:space="preserve">– sale, (retail or wholesale). </w:t>
      </w:r>
    </w:p>
    <w:p w:rsidR="005F0BC6" w:rsidRDefault="005F0BC6" w:rsidP="009B420E">
      <w:pPr>
        <w:jc w:val="both"/>
      </w:pPr>
      <w:r>
        <w:t xml:space="preserve">18. The importing country can recognize controls implemented by the exporting country. The application of controls by the exporting country, during production, manufacture and subsequent transit should be encouraged, with the aim of identifying and correcting problems when and where they occur, and preferably before costly recalls of food already in distribution are required. </w:t>
      </w:r>
    </w:p>
    <w:p w:rsidR="005F0BC6" w:rsidRDefault="005F0BC6" w:rsidP="009B420E">
      <w:pPr>
        <w:jc w:val="both"/>
      </w:pPr>
      <w:r>
        <w:t xml:space="preserve">19. Pre-shipment clearance is a possible mechanism for ensuring compliance with requirements of, for example, valuable bulk packed products that if opened and sampled upon entry, would be seriously compromised, or for products that require rapid clearance to maintain safety and quality. </w:t>
      </w:r>
    </w:p>
    <w:p w:rsidR="005F0BC6" w:rsidRDefault="005F0BC6" w:rsidP="009B420E">
      <w:pPr>
        <w:jc w:val="both"/>
      </w:pPr>
      <w:r>
        <w:t xml:space="preserve">20. If the inspection system encompasses pre-shipment clearance then the authority to conduct the clearance should be determined and procedures defined. The importing country’s competent authority may choose to conduct pre-shipment clearance from an exporting country’s official certification system or from officially recognised third party certification bodies working to defined criteria. The pre-shipment clearance should be based on the results of the documentary check on the consignments. </w:t>
      </w:r>
    </w:p>
    <w:p w:rsidR="005F0BC6" w:rsidRPr="009D4356" w:rsidRDefault="005F0BC6" w:rsidP="009B420E">
      <w:pPr>
        <w:jc w:val="both"/>
        <w:rPr>
          <w:b/>
        </w:rPr>
      </w:pPr>
      <w:r w:rsidRPr="009D4356">
        <w:rPr>
          <w:b/>
        </w:rPr>
        <w:t>Information about food to be imported</w:t>
      </w:r>
      <w:r w:rsidR="00661DDF" w:rsidRPr="009D4356">
        <w:rPr>
          <w:rStyle w:val="FootnoteReference"/>
          <w:b/>
        </w:rPr>
        <w:footnoteReference w:id="5"/>
      </w:r>
    </w:p>
    <w:p w:rsidR="005F0BC6" w:rsidRDefault="005F0BC6" w:rsidP="009B420E">
      <w:pPr>
        <w:jc w:val="both"/>
      </w:pPr>
      <w:r>
        <w:t xml:space="preserve">21. The efficacy of the control system in applying efficient targeted control measures depends upon information about consignments entering the jurisdiction. Details of consignments that may be obtained include: </w:t>
      </w:r>
    </w:p>
    <w:p w:rsidR="005F0BC6" w:rsidRDefault="005F0BC6" w:rsidP="009B420E">
      <w:pPr>
        <w:jc w:val="both"/>
      </w:pPr>
      <w:r>
        <w:t xml:space="preserve">– date and point of entry; </w:t>
      </w:r>
    </w:p>
    <w:p w:rsidR="005F0BC6" w:rsidRDefault="005F0BC6" w:rsidP="009B420E">
      <w:pPr>
        <w:jc w:val="both"/>
      </w:pPr>
      <w:r>
        <w:t xml:space="preserve">– mode of transport; </w:t>
      </w:r>
    </w:p>
    <w:p w:rsidR="005F0BC6" w:rsidRDefault="005F0BC6" w:rsidP="009B420E">
      <w:pPr>
        <w:jc w:val="both"/>
      </w:pPr>
      <w:r>
        <w:t xml:space="preserve">– comprehensive description of the commodity (including for example product description, amount, means of preservation, country of origin and/or of dispatch, identifying marks such as lot identifier or seal identification numbers etc); </w:t>
      </w:r>
    </w:p>
    <w:p w:rsidR="005F0BC6" w:rsidRDefault="005F0BC6" w:rsidP="009B420E">
      <w:pPr>
        <w:jc w:val="both"/>
      </w:pPr>
      <w:r>
        <w:t xml:space="preserve">– exporter’s and importer’s name and address; </w:t>
      </w:r>
    </w:p>
    <w:p w:rsidR="005F0BC6" w:rsidRDefault="005F0BC6" w:rsidP="009B420E">
      <w:pPr>
        <w:jc w:val="both"/>
      </w:pPr>
      <w:r>
        <w:t xml:space="preserve">– manufacturer and/or producer, including establishment registration number; </w:t>
      </w:r>
    </w:p>
    <w:p w:rsidR="005F0BC6" w:rsidRDefault="005F0BC6" w:rsidP="009B420E">
      <w:pPr>
        <w:jc w:val="both"/>
      </w:pPr>
      <w:r>
        <w:t xml:space="preserve">– destination; and, </w:t>
      </w:r>
    </w:p>
    <w:p w:rsidR="005F0BC6" w:rsidRDefault="005F0BC6" w:rsidP="009B420E">
      <w:pPr>
        <w:jc w:val="both"/>
      </w:pPr>
      <w:r>
        <w:t xml:space="preserve">– other information. </w:t>
      </w:r>
    </w:p>
    <w:p w:rsidR="005F0BC6" w:rsidRPr="00661DDF" w:rsidRDefault="005F0BC6" w:rsidP="009B420E">
      <w:pPr>
        <w:jc w:val="both"/>
        <w:rPr>
          <w:b/>
        </w:rPr>
      </w:pPr>
      <w:r w:rsidRPr="00661DDF">
        <w:rPr>
          <w:b/>
        </w:rPr>
        <w:t xml:space="preserve">Frequency of inspection and testing of imported food </w:t>
      </w:r>
    </w:p>
    <w:p w:rsidR="005F0BC6" w:rsidRDefault="005F0BC6" w:rsidP="009B420E">
      <w:pPr>
        <w:jc w:val="both"/>
      </w:pPr>
      <w:r>
        <w:t xml:space="preserve">22. The nature and frequency of inspection, sampling and testing of imported foods should be based on the risk to human health and safety presented by the product, its origin and the history of conformance to requirements and other relevant information. Control should be designed to account for factors such as: </w:t>
      </w:r>
    </w:p>
    <w:p w:rsidR="005F0BC6" w:rsidRDefault="005F0BC6" w:rsidP="009B420E">
      <w:pPr>
        <w:jc w:val="both"/>
      </w:pPr>
      <w:r>
        <w:t xml:space="preserve">– the risk to human health posed by the product or its packaging; </w:t>
      </w:r>
    </w:p>
    <w:p w:rsidR="005F0BC6" w:rsidRDefault="005F0BC6" w:rsidP="009B420E">
      <w:pPr>
        <w:jc w:val="both"/>
      </w:pPr>
      <w:r>
        <w:lastRenderedPageBreak/>
        <w:t xml:space="preserve">– the likelihood of non-compliance with requirements; </w:t>
      </w:r>
    </w:p>
    <w:p w:rsidR="005F0BC6" w:rsidRDefault="005F0BC6" w:rsidP="009B420E">
      <w:pPr>
        <w:jc w:val="both"/>
      </w:pPr>
      <w:r>
        <w:t xml:space="preserve">– the target consumer group; </w:t>
      </w:r>
    </w:p>
    <w:p w:rsidR="005F0BC6" w:rsidRDefault="005F0BC6" w:rsidP="009B420E">
      <w:pPr>
        <w:jc w:val="both"/>
      </w:pPr>
      <w:r>
        <w:t xml:space="preserve">– the extent and nature of any further processing of the product; </w:t>
      </w:r>
    </w:p>
    <w:p w:rsidR="005F0BC6" w:rsidRDefault="005F0BC6" w:rsidP="009B420E">
      <w:pPr>
        <w:jc w:val="both"/>
      </w:pPr>
      <w:r>
        <w:t xml:space="preserve">– food inspection and certification system in the exporting country and existence of any equivalence, mutual recognition agreements or other trade agreements; and, </w:t>
      </w:r>
    </w:p>
    <w:p w:rsidR="005F0BC6" w:rsidRDefault="005F0BC6" w:rsidP="009B420E">
      <w:pPr>
        <w:jc w:val="both"/>
      </w:pPr>
      <w:r>
        <w:t xml:space="preserve">– history of conformity of producers, processors, manufacturers, exporters, importers and distributors. </w:t>
      </w:r>
    </w:p>
    <w:p w:rsidR="005F0BC6" w:rsidRDefault="005F0BC6" w:rsidP="009B420E">
      <w:pPr>
        <w:jc w:val="both"/>
      </w:pPr>
      <w:r>
        <w:t xml:space="preserve">23. Physical checks of imported product, preferably using statistically based sampling plans, should represent valid methods for the verification of compliance with requirements by the product as established by the importing country, or in the case of importing a product for the purposes of re-exportation, verification should be made on the requirements of the country of final destination and said requirements should be specified in the certificate of re-exportation. Inspection procedures should be developed to include defined sampling frequencies or inspection intensities, including for re-exported product. </w:t>
      </w:r>
    </w:p>
    <w:p w:rsidR="005F0BC6" w:rsidRDefault="005F0BC6" w:rsidP="009B420E">
      <w:pPr>
        <w:jc w:val="both"/>
      </w:pPr>
      <w:r>
        <w:t xml:space="preserve">24. Sampling frequency of products supplied from a source for which there is no or known poor compliance history may be set at a higher rate than for products with a good compliance history provided this is shown through transparent and objective criteria. The sampling process enables a compliance history to be created. Similarly, food from suppliers or imported by parties with a known poor compliance history should be sampled at higher intensity. In these cases, every consignment may need to be physically inspected, until a defined number of consecutive consignments meets requirements. Alternatively the inspection procedures can be developed to automatically detain product from suppliers with a known poor compliance history and the importer may be required to prove the fitness of each consignment through use of a laboratory (including official laboratory) recognized, accredited and/or listed by the competent authority until a satisfactory compliance rate is achieved. </w:t>
      </w:r>
    </w:p>
    <w:p w:rsidR="005F0BC6" w:rsidRPr="00661DDF" w:rsidRDefault="005F0BC6" w:rsidP="009B420E">
      <w:pPr>
        <w:jc w:val="both"/>
        <w:rPr>
          <w:b/>
        </w:rPr>
      </w:pPr>
      <w:r w:rsidRPr="00661DDF">
        <w:rPr>
          <w:b/>
        </w:rPr>
        <w:t xml:space="preserve">Sampling and analysis </w:t>
      </w:r>
    </w:p>
    <w:p w:rsidR="005F0BC6" w:rsidRDefault="005F0BC6" w:rsidP="009B420E">
      <w:pPr>
        <w:jc w:val="both"/>
      </w:pPr>
      <w:r>
        <w:t xml:space="preserve">25. The inspection system should be based on Codex sampling plans for the particular commodity/contaminant combination where available. In the absence of Codex sampling plans, reference should be made to internationally accepted or scientifically based sampling plans. </w:t>
      </w:r>
    </w:p>
    <w:p w:rsidR="005F0BC6" w:rsidRDefault="005F0BC6" w:rsidP="009B420E">
      <w:pPr>
        <w:jc w:val="both"/>
      </w:pPr>
      <w:r>
        <w:t xml:space="preserve">26. Internationally validated standard methods of analysis or methods validated through international protocols should be used where available. Analysis should be conducted in official or officially accredited laboratories. </w:t>
      </w:r>
    </w:p>
    <w:p w:rsidR="005F0BC6" w:rsidRPr="00661DDF" w:rsidRDefault="005F0BC6" w:rsidP="009B420E">
      <w:pPr>
        <w:jc w:val="both"/>
        <w:rPr>
          <w:b/>
        </w:rPr>
      </w:pPr>
      <w:r w:rsidRPr="00661DDF">
        <w:rPr>
          <w:b/>
        </w:rPr>
        <w:t xml:space="preserve">Decisions </w:t>
      </w:r>
    </w:p>
    <w:p w:rsidR="005F0BC6" w:rsidRDefault="005F0BC6" w:rsidP="009B420E">
      <w:pPr>
        <w:jc w:val="both"/>
      </w:pPr>
      <w:r>
        <w:t xml:space="preserve">27. Decision criteria (without prejudice to the application of customs procedures) should be developed that determine whether consignments are given: </w:t>
      </w:r>
    </w:p>
    <w:p w:rsidR="005F0BC6" w:rsidRDefault="005F0BC6" w:rsidP="009B420E">
      <w:pPr>
        <w:jc w:val="both"/>
      </w:pPr>
      <w:r>
        <w:t xml:space="preserve">– acceptance; </w:t>
      </w:r>
    </w:p>
    <w:p w:rsidR="005F0BC6" w:rsidRDefault="005F0BC6" w:rsidP="009B420E">
      <w:pPr>
        <w:jc w:val="both"/>
      </w:pPr>
      <w:r>
        <w:t xml:space="preserve">– entry if cleared upon inspection or verification of conformance; </w:t>
      </w:r>
    </w:p>
    <w:p w:rsidR="005F0BC6" w:rsidRDefault="005F0BC6" w:rsidP="009B420E">
      <w:pPr>
        <w:jc w:val="both"/>
      </w:pPr>
      <w:r>
        <w:t xml:space="preserve">– release of non-conforming product after re-conditioning and/or corrective measures have been taken; </w:t>
      </w:r>
    </w:p>
    <w:p w:rsidR="005F0BC6" w:rsidRDefault="005F0BC6" w:rsidP="009B420E">
      <w:pPr>
        <w:jc w:val="both"/>
      </w:pPr>
      <w:r>
        <w:t xml:space="preserve">– rejection notice, with redirecting product for uses other than human consumption; </w:t>
      </w:r>
    </w:p>
    <w:p w:rsidR="005F0BC6" w:rsidRDefault="005F0BC6" w:rsidP="009B420E">
      <w:pPr>
        <w:jc w:val="both"/>
      </w:pPr>
      <w:r>
        <w:lastRenderedPageBreak/>
        <w:t xml:space="preserve">– rejection notice, with re-exportation option or return to country of export option at exporter expense; </w:t>
      </w:r>
    </w:p>
    <w:p w:rsidR="005F0BC6" w:rsidRDefault="005F0BC6" w:rsidP="009B420E">
      <w:pPr>
        <w:jc w:val="both"/>
      </w:pPr>
      <w:r>
        <w:t xml:space="preserve">– rejection notice with destruction order. </w:t>
      </w:r>
    </w:p>
    <w:p w:rsidR="005F0BC6" w:rsidRDefault="005F0BC6" w:rsidP="009B420E">
      <w:pPr>
        <w:jc w:val="both"/>
      </w:pPr>
      <w:r>
        <w:t xml:space="preserve">28. Results of inspection and, if required, laboratory analysis, should be carefully interpreted in making decisions relating to acceptance or rejection of a consignment. The inspection system should include decision-making rules for situations where results are borderline, or sampling indicates that only some lots within the consignment comply with requirements. Procedures may include further testing and examination of previous compliance history. </w:t>
      </w:r>
    </w:p>
    <w:p w:rsidR="005F0BC6" w:rsidRDefault="005F0BC6" w:rsidP="009B420E">
      <w:pPr>
        <w:jc w:val="both"/>
      </w:pPr>
      <w:r>
        <w:t>29. The system should include formal means to communicate decisions regarding clearance and status of consignments</w:t>
      </w:r>
      <w:r w:rsidR="00EC0EF5">
        <w:rPr>
          <w:rStyle w:val="FootnoteReference"/>
        </w:rPr>
        <w:footnoteReference w:id="6"/>
      </w:r>
      <w:r>
        <w:t>. There should be an appeal mechanism and/or opportunity for review of official decisions on consignments</w:t>
      </w:r>
      <w:r w:rsidR="004A7416">
        <w:rPr>
          <w:rStyle w:val="FootnoteReference"/>
        </w:rPr>
        <w:footnoteReference w:id="7"/>
      </w:r>
      <w:r w:rsidR="004A7416">
        <w:t>.</w:t>
      </w:r>
      <w:r>
        <w:t xml:space="preserve"> When food is rejected because it fails to meet national standards of the importing country but conforms to international standards, the option of withdrawing the rejected consignment should be considered. </w:t>
      </w:r>
    </w:p>
    <w:p w:rsidR="005F0BC6" w:rsidRPr="004A7416" w:rsidRDefault="005F0BC6" w:rsidP="009B420E">
      <w:pPr>
        <w:jc w:val="both"/>
        <w:rPr>
          <w:b/>
        </w:rPr>
      </w:pPr>
      <w:r w:rsidRPr="004A7416">
        <w:rPr>
          <w:b/>
        </w:rPr>
        <w:t xml:space="preserve">Dealing with emergency situations </w:t>
      </w:r>
    </w:p>
    <w:p w:rsidR="005F0BC6" w:rsidRDefault="005F0BC6" w:rsidP="009B420E">
      <w:pPr>
        <w:jc w:val="both"/>
      </w:pPr>
      <w:r>
        <w:t xml:space="preserve">30. The responsible authority should have procedures that can respond appropriately to emergency situations. This will include holding suspect product upon arrival and recall procedures for suspect product already cleared and, if relevant, rapid notification of the problem to international bodies and possible measures to take. </w:t>
      </w:r>
    </w:p>
    <w:p w:rsidR="005F0BC6" w:rsidRDefault="005F0BC6" w:rsidP="009B420E">
      <w:pPr>
        <w:jc w:val="both"/>
      </w:pPr>
      <w:r>
        <w:t>31. If the food control authorities in importing countries detect problems during import control of foodstuffs which they consider to be so serious as to indicate a food control emergency situation, they should inform the exporting country promptly by telecommunication</w:t>
      </w:r>
      <w:r w:rsidR="004A7416">
        <w:rPr>
          <w:rStyle w:val="FootnoteReference"/>
        </w:rPr>
        <w:footnoteReference w:id="8"/>
      </w:r>
      <w:r w:rsidR="008F4989">
        <w:t>.</w:t>
      </w:r>
      <w:r>
        <w:t xml:space="preserve"> </w:t>
      </w:r>
    </w:p>
    <w:p w:rsidR="005F0BC6" w:rsidRPr="00142B09" w:rsidRDefault="005F0BC6" w:rsidP="009B420E">
      <w:pPr>
        <w:jc w:val="both"/>
        <w:rPr>
          <w:b/>
        </w:rPr>
      </w:pPr>
      <w:r w:rsidRPr="00142B09">
        <w:rPr>
          <w:b/>
        </w:rPr>
        <w:t xml:space="preserve">Recognition of export controls </w:t>
      </w:r>
    </w:p>
    <w:p w:rsidR="005F0BC6" w:rsidRDefault="005F0BC6" w:rsidP="009B420E">
      <w:pPr>
        <w:jc w:val="both"/>
      </w:pPr>
      <w:r>
        <w:t xml:space="preserve">32. Consistent with paragraph 13 of these guidelines, the importing country should establish mechanisms to accept control systems in an exporting country where these systems achieve the same level of protection required by the importing country. In this regard, the importing country should: </w:t>
      </w:r>
    </w:p>
    <w:p w:rsidR="005F0BC6" w:rsidRDefault="005F0BC6" w:rsidP="009B420E">
      <w:pPr>
        <w:jc w:val="both"/>
      </w:pPr>
      <w:r>
        <w:t xml:space="preserve">– develop procedures to conduct assessment of the exporting country systems consistent with the Annex of the Guidelines for the Design, Operation, Assessment and Accreditation of Food Import and Export Inspection and Certification Systems (CAC/GL 26-1997); </w:t>
      </w:r>
    </w:p>
    <w:p w:rsidR="005F0BC6" w:rsidRDefault="005F0BC6" w:rsidP="009B420E">
      <w:pPr>
        <w:jc w:val="both"/>
      </w:pPr>
      <w:r>
        <w:t xml:space="preserve">– take into account the scope of the arrangement, for example, whether it covers all foods or is restricted to certain commodities or certain manufacturers; </w:t>
      </w:r>
    </w:p>
    <w:p w:rsidR="005F0BC6" w:rsidRDefault="005F0BC6" w:rsidP="009B420E">
      <w:pPr>
        <w:jc w:val="both"/>
      </w:pPr>
      <w:r>
        <w:t xml:space="preserve">– develop clearance procedures that achieve its appropriate level of protection if arrangements developed with an exporting country are limited in scope; </w:t>
      </w:r>
    </w:p>
    <w:p w:rsidR="005F0BC6" w:rsidRDefault="005F0BC6" w:rsidP="009B420E">
      <w:pPr>
        <w:jc w:val="both"/>
      </w:pPr>
      <w:r>
        <w:t xml:space="preserve">– provide recognition of export controls through, for example, exemption from routine import inspection; </w:t>
      </w:r>
    </w:p>
    <w:p w:rsidR="005F0BC6" w:rsidRDefault="005F0BC6" w:rsidP="009B420E">
      <w:pPr>
        <w:jc w:val="both"/>
      </w:pPr>
      <w:r>
        <w:t xml:space="preserve">– conduct verification procedures for example, occasional random sampling </w:t>
      </w:r>
    </w:p>
    <w:p w:rsidR="005F0BC6" w:rsidRDefault="005F0BC6" w:rsidP="009B420E">
      <w:pPr>
        <w:jc w:val="both"/>
      </w:pPr>
      <w:r>
        <w:lastRenderedPageBreak/>
        <w:t xml:space="preserve">and analysis of products upon arrival. (Section 5 and Annex of CAC/GL 26-1997 deal with the provision and verification of systems that provide certification for food in trade); </w:t>
      </w:r>
    </w:p>
    <w:p w:rsidR="005F0BC6" w:rsidRDefault="005F0BC6" w:rsidP="009B420E">
      <w:pPr>
        <w:jc w:val="both"/>
      </w:pPr>
      <w:r>
        <w:t xml:space="preserve">– recognize that arrangements need not rely on the presentation of certificates or documentation with individual consignments, when such an approach is acceptable to both parties. </w:t>
      </w:r>
    </w:p>
    <w:p w:rsidR="005F0BC6" w:rsidRDefault="005F0BC6" w:rsidP="009B420E">
      <w:pPr>
        <w:jc w:val="both"/>
      </w:pPr>
      <w:r>
        <w:t>33. The competent authority of the importing country may, develop certification agreements with exporting country official certification bodies or officially recognized certification bodies, with the aim of ensuring requirements are met. Such agreements may be of particular value where, for example, there is limited access to specific facilities such as laboratories and consignment tracking systems</w:t>
      </w:r>
      <w:r w:rsidR="00142B09">
        <w:rPr>
          <w:rStyle w:val="FootnoteReference"/>
        </w:rPr>
        <w:footnoteReference w:id="9"/>
      </w:r>
      <w:r w:rsidR="00142B09">
        <w:t>.</w:t>
      </w:r>
      <w:r>
        <w:t xml:space="preserve"> </w:t>
      </w:r>
    </w:p>
    <w:p w:rsidR="005F0BC6" w:rsidRPr="00142B09" w:rsidRDefault="005F0BC6" w:rsidP="009B420E">
      <w:pPr>
        <w:jc w:val="both"/>
        <w:rPr>
          <w:b/>
        </w:rPr>
      </w:pPr>
      <w:r w:rsidRPr="00142B09">
        <w:rPr>
          <w:b/>
        </w:rPr>
        <w:t xml:space="preserve">Information exchange </w:t>
      </w:r>
    </w:p>
    <w:p w:rsidR="005F0BC6" w:rsidRDefault="005F0BC6" w:rsidP="009B420E">
      <w:pPr>
        <w:jc w:val="both"/>
      </w:pPr>
      <w:r>
        <w:t xml:space="preserve">34. Food import control systems involve information exchange between competent authorities of exporting and importing countries. The information may include: </w:t>
      </w:r>
    </w:p>
    <w:p w:rsidR="005F0BC6" w:rsidRDefault="005F0BC6" w:rsidP="009B420E">
      <w:pPr>
        <w:jc w:val="both"/>
      </w:pPr>
      <w:r>
        <w:t xml:space="preserve">– requirements of food control systems; </w:t>
      </w:r>
    </w:p>
    <w:p w:rsidR="005F0BC6" w:rsidRDefault="005F0BC6" w:rsidP="009B420E">
      <w:pPr>
        <w:jc w:val="both"/>
      </w:pPr>
      <w:r>
        <w:t xml:space="preserve">– “hard copy” certificates attesting to conformity with requirements of the particular consignment; </w:t>
      </w:r>
    </w:p>
    <w:p w:rsidR="005F0BC6" w:rsidRDefault="005F0BC6" w:rsidP="009B420E">
      <w:pPr>
        <w:jc w:val="both"/>
      </w:pPr>
      <w:r>
        <w:t xml:space="preserve">– electronic data or certificates where accepted by the parties involved; </w:t>
      </w:r>
    </w:p>
    <w:p w:rsidR="005F0BC6" w:rsidRDefault="005F0BC6" w:rsidP="009B420E">
      <w:pPr>
        <w:jc w:val="both"/>
      </w:pPr>
      <w:r>
        <w:t xml:space="preserve">– details about rejected food consignment, such as destruction, re-exportation, processing, re-conditioning or redirection of consignment for uses other than human consumption; </w:t>
      </w:r>
    </w:p>
    <w:p w:rsidR="005F0BC6" w:rsidRDefault="005F0BC6" w:rsidP="009B420E">
      <w:pPr>
        <w:jc w:val="both"/>
      </w:pPr>
      <w:r>
        <w:t xml:space="preserve">– list of establishments or facilities that conform to importing country requirements. </w:t>
      </w:r>
    </w:p>
    <w:p w:rsidR="005F0BC6" w:rsidRDefault="005F0BC6" w:rsidP="009B420E">
      <w:pPr>
        <w:jc w:val="both"/>
      </w:pPr>
      <w:r>
        <w:t>35. Any changes to import protocols, including specifications, which may significantly affect trade, should be promptly communicated to trading partners, allowing a reasonable interval</w:t>
      </w:r>
      <w:r w:rsidR="00142B09">
        <w:rPr>
          <w:rStyle w:val="FootnoteReference"/>
        </w:rPr>
        <w:footnoteReference w:id="10"/>
      </w:r>
      <w:r>
        <w:t xml:space="preserve"> between the publication of regulations and their application. </w:t>
      </w:r>
    </w:p>
    <w:p w:rsidR="005F0BC6" w:rsidRPr="00142B09" w:rsidRDefault="005F0BC6" w:rsidP="009B420E">
      <w:pPr>
        <w:jc w:val="both"/>
        <w:rPr>
          <w:b/>
        </w:rPr>
      </w:pPr>
      <w:r w:rsidRPr="00142B09">
        <w:rPr>
          <w:b/>
        </w:rPr>
        <w:t xml:space="preserve">Other considerations </w:t>
      </w:r>
    </w:p>
    <w:p w:rsidR="005F0BC6" w:rsidRDefault="005F0BC6" w:rsidP="009B420E">
      <w:pPr>
        <w:jc w:val="both"/>
      </w:pPr>
      <w:r>
        <w:t xml:space="preserve">36. The competent authority may consider developing alternative arrangements in lieu of routine inspection. This may include agreements where the competent authority assesses the controls that importers implement over suppliers and the procedures that are in place to verify compliance of suppliers. Alternative arrangements may include some sampling of product as an audit, rather than routine inspection. </w:t>
      </w:r>
    </w:p>
    <w:p w:rsidR="005F0BC6" w:rsidRDefault="005F0BC6" w:rsidP="009B420E">
      <w:pPr>
        <w:jc w:val="both"/>
      </w:pPr>
      <w:r>
        <w:t xml:space="preserve">37. The competent authority may consider developing a system where registration of importers is mandatory. Advantages include the ability to provide the importers and exporters with information about their responsibilities and mechanisms to ensure imported food complies with requirements. </w:t>
      </w:r>
    </w:p>
    <w:p w:rsidR="005F0BC6" w:rsidRDefault="005F0BC6" w:rsidP="009B420E">
      <w:pPr>
        <w:jc w:val="both"/>
      </w:pPr>
      <w:r>
        <w:t xml:space="preserve">38. If a product registration system exists or is implemented, a clear rationale for such product registration (e.g. specific and documented food safety concerns) should exist. Such product REGISTRATIONS SHOULD TREAT IMPORTED AND DOMESTIC PRODUCT IN THE SAME OR EQUIVALENT MANNER. </w:t>
      </w:r>
    </w:p>
    <w:p w:rsidR="008F4989" w:rsidRDefault="008F4989" w:rsidP="009B420E">
      <w:pPr>
        <w:jc w:val="both"/>
        <w:rPr>
          <w:b/>
        </w:rPr>
      </w:pPr>
    </w:p>
    <w:p w:rsidR="008F4989" w:rsidRDefault="008F4989" w:rsidP="009B420E">
      <w:pPr>
        <w:jc w:val="both"/>
        <w:rPr>
          <w:b/>
        </w:rPr>
      </w:pPr>
    </w:p>
    <w:p w:rsidR="005F0BC6" w:rsidRPr="00142B09" w:rsidRDefault="005F0BC6" w:rsidP="009B420E">
      <w:pPr>
        <w:jc w:val="both"/>
        <w:rPr>
          <w:b/>
        </w:rPr>
      </w:pPr>
      <w:r w:rsidRPr="00142B09">
        <w:rPr>
          <w:b/>
        </w:rPr>
        <w:lastRenderedPageBreak/>
        <w:t xml:space="preserve">Documenting the system </w:t>
      </w:r>
    </w:p>
    <w:p w:rsidR="005F0BC6" w:rsidRDefault="005F0BC6" w:rsidP="009B420E">
      <w:pPr>
        <w:jc w:val="both"/>
      </w:pPr>
      <w:r>
        <w:t xml:space="preserve">39. A food import control system should be fully documented, including a description of its scope and operation, responsibilities and actions for staff, in order that all parties involved know precisely what is expected of them. </w:t>
      </w:r>
    </w:p>
    <w:p w:rsidR="005F0BC6" w:rsidRDefault="005F0BC6" w:rsidP="009B420E">
      <w:pPr>
        <w:jc w:val="both"/>
      </w:pPr>
      <w:r>
        <w:t xml:space="preserve">40. Documentation of a food import control system should include: </w:t>
      </w:r>
    </w:p>
    <w:p w:rsidR="005F0BC6" w:rsidRDefault="005F0BC6" w:rsidP="009B420E">
      <w:pPr>
        <w:jc w:val="both"/>
      </w:pPr>
      <w:r>
        <w:t xml:space="preserve">– an organizational chart of the official inspection system, including geographical location and the roles of each level in the hierarchy; </w:t>
      </w:r>
    </w:p>
    <w:p w:rsidR="005F0BC6" w:rsidRDefault="005F0BC6" w:rsidP="009B420E">
      <w:pPr>
        <w:jc w:val="both"/>
      </w:pPr>
      <w:r>
        <w:t xml:space="preserve">– job functions as appropriate; </w:t>
      </w:r>
    </w:p>
    <w:p w:rsidR="005F0BC6" w:rsidRDefault="005F0BC6" w:rsidP="009B420E">
      <w:pPr>
        <w:jc w:val="both"/>
      </w:pPr>
      <w:r>
        <w:t xml:space="preserve">– operating procedures including methods of sampling, inspection and testing; </w:t>
      </w:r>
    </w:p>
    <w:p w:rsidR="005F0BC6" w:rsidRDefault="005F0BC6" w:rsidP="009B420E">
      <w:pPr>
        <w:jc w:val="both"/>
      </w:pPr>
      <w:r>
        <w:t xml:space="preserve">– relevant legislation and requirements that should be met by imported food; </w:t>
      </w:r>
    </w:p>
    <w:p w:rsidR="005F0BC6" w:rsidRDefault="005F0BC6" w:rsidP="009B420E">
      <w:pPr>
        <w:jc w:val="both"/>
      </w:pPr>
      <w:r>
        <w:t xml:space="preserve">– important contacts; </w:t>
      </w:r>
    </w:p>
    <w:p w:rsidR="005F0BC6" w:rsidRDefault="005F0BC6" w:rsidP="009B420E">
      <w:pPr>
        <w:jc w:val="both"/>
      </w:pPr>
      <w:r>
        <w:t xml:space="preserve">– relevant information about food contamination and food inspection; and, </w:t>
      </w:r>
    </w:p>
    <w:p w:rsidR="005F0BC6" w:rsidRDefault="005F0BC6" w:rsidP="009B420E">
      <w:pPr>
        <w:jc w:val="both"/>
      </w:pPr>
      <w:r>
        <w:t xml:space="preserve">– relevant information on staff training. </w:t>
      </w:r>
    </w:p>
    <w:p w:rsidR="005F0BC6" w:rsidRPr="00142B09" w:rsidRDefault="005F0BC6" w:rsidP="009B420E">
      <w:pPr>
        <w:jc w:val="both"/>
        <w:rPr>
          <w:b/>
        </w:rPr>
      </w:pPr>
      <w:r w:rsidRPr="00142B09">
        <w:rPr>
          <w:b/>
        </w:rPr>
        <w:t xml:space="preserve">Trained inspectorate </w:t>
      </w:r>
    </w:p>
    <w:p w:rsidR="005F0BC6" w:rsidRDefault="005F0BC6" w:rsidP="009B420E">
      <w:pPr>
        <w:jc w:val="both"/>
      </w:pPr>
      <w:r>
        <w:t xml:space="preserve">41. It is fundamental to have adequate, reliable, well-trained and organised inspection staff, with supporting infrastructure, to deliver the food import control system. Training, communication, and supervisory elements should be organised to provide consistent implementation of requirements by the inspectorate throughout the food import control system. </w:t>
      </w:r>
    </w:p>
    <w:p w:rsidR="005F0BC6" w:rsidRDefault="005F0BC6" w:rsidP="009B420E">
      <w:pPr>
        <w:jc w:val="both"/>
      </w:pPr>
      <w:r>
        <w:t xml:space="preserve">42. Where third parties are officially recognised by the competent authority of the importing country to perform specified inspection work, the qualifications of the inspection staff should be at least the same as inspection staff of the competent authority who may carry out similar tasks. </w:t>
      </w:r>
    </w:p>
    <w:p w:rsidR="005F0BC6" w:rsidRDefault="005F0BC6" w:rsidP="009B420E">
      <w:pPr>
        <w:jc w:val="both"/>
      </w:pPr>
      <w:r>
        <w:t xml:space="preserve">43. The competent authority of the importing country responsible for conducting assessment of food control systems of exporting countries should engage personnel with appropriate qualifications, experience and training required of personnel assessing domestic food controls. </w:t>
      </w:r>
    </w:p>
    <w:p w:rsidR="005F0BC6" w:rsidRPr="00142B09" w:rsidRDefault="005F0BC6" w:rsidP="009B420E">
      <w:pPr>
        <w:jc w:val="both"/>
        <w:rPr>
          <w:b/>
        </w:rPr>
      </w:pPr>
      <w:r w:rsidRPr="00142B09">
        <w:rPr>
          <w:b/>
        </w:rPr>
        <w:t xml:space="preserve">System verification </w:t>
      </w:r>
    </w:p>
    <w:p w:rsidR="005F0BC6" w:rsidRDefault="005F0BC6" w:rsidP="009B420E">
      <w:pPr>
        <w:jc w:val="both"/>
      </w:pPr>
      <w:r>
        <w:t xml:space="preserve">44. Verification should be carried out on the basis of Section 9 of the Guidelines for the Design, Operation, Assessment and Accreditation of Food Import and Export Inspection and Certification Systems (CAC/GL 26-1997) and the food import control system should be independently assessed on a regular basis. </w:t>
      </w:r>
    </w:p>
    <w:p w:rsidR="005F0BC6" w:rsidRPr="00142B09" w:rsidRDefault="005F0BC6" w:rsidP="009B420E">
      <w:pPr>
        <w:jc w:val="both"/>
        <w:rPr>
          <w:b/>
        </w:rPr>
      </w:pPr>
      <w:r w:rsidRPr="00142B09">
        <w:rPr>
          <w:b/>
        </w:rPr>
        <w:t xml:space="preserve">SECTION 5 – FURTHER INFORMATION </w:t>
      </w:r>
    </w:p>
    <w:p w:rsidR="005F0BC6" w:rsidRDefault="005F0BC6" w:rsidP="009B420E">
      <w:pPr>
        <w:jc w:val="both"/>
      </w:pPr>
      <w:r>
        <w:t xml:space="preserve">45. The Food and Agriculture Organization of the United Nations Manual of Food Quality Control. Imported Food Inspection (Food and Nutrition Paper 14/15, 1993) and World Health Organization/Western Pacific Regional Center for the Promotion of Environmental Planning and Applied Science (PEPAS): Manual for the Inspection of Imported Food (1992) contribute valuable information for those engaged in the design and re-design of food import control systems. </w:t>
      </w:r>
    </w:p>
    <w:p w:rsidR="00142B09" w:rsidRDefault="00142B09" w:rsidP="009B420E">
      <w:pPr>
        <w:spacing w:after="200" w:line="276" w:lineRule="auto"/>
        <w:jc w:val="both"/>
      </w:pPr>
      <w:r>
        <w:br w:type="page"/>
      </w:r>
    </w:p>
    <w:p w:rsidR="005F0BC6" w:rsidRPr="00142B09" w:rsidRDefault="005F0BC6" w:rsidP="009B420E">
      <w:pPr>
        <w:jc w:val="both"/>
        <w:rPr>
          <w:b/>
        </w:rPr>
      </w:pPr>
      <w:r w:rsidRPr="00142B09">
        <w:rPr>
          <w:b/>
        </w:rPr>
        <w:lastRenderedPageBreak/>
        <w:t xml:space="preserve">APPENDIX </w:t>
      </w:r>
    </w:p>
    <w:p w:rsidR="005F0BC6" w:rsidRPr="00142B09" w:rsidRDefault="005F0BC6" w:rsidP="009B420E">
      <w:pPr>
        <w:jc w:val="both"/>
        <w:rPr>
          <w:b/>
        </w:rPr>
      </w:pPr>
      <w:r w:rsidRPr="00142B09">
        <w:rPr>
          <w:b/>
        </w:rPr>
        <w:t>PRINCIPLES AND GUIDELINES FOR IMPORTED FOOD INSPECTION BASED ON RISK</w:t>
      </w:r>
      <w:r w:rsidR="00224351">
        <w:rPr>
          <w:rStyle w:val="FootnoteReference"/>
          <w:b/>
        </w:rPr>
        <w:footnoteReference w:id="11"/>
      </w:r>
      <w:r w:rsidRPr="00142B09">
        <w:rPr>
          <w:b/>
        </w:rPr>
        <w:t xml:space="preserve"> </w:t>
      </w:r>
    </w:p>
    <w:p w:rsidR="00065AE7" w:rsidRDefault="00065AE7" w:rsidP="009B420E">
      <w:pPr>
        <w:jc w:val="both"/>
        <w:rPr>
          <w:b/>
        </w:rPr>
      </w:pPr>
    </w:p>
    <w:p w:rsidR="005F0BC6" w:rsidRPr="00224351" w:rsidRDefault="005F0BC6" w:rsidP="009B420E">
      <w:pPr>
        <w:jc w:val="both"/>
        <w:rPr>
          <w:b/>
        </w:rPr>
      </w:pPr>
      <w:r w:rsidRPr="00224351">
        <w:rPr>
          <w:b/>
        </w:rPr>
        <w:t xml:space="preserve">SECTION 1 – INTRODUCTION </w:t>
      </w:r>
    </w:p>
    <w:p w:rsidR="00065AE7" w:rsidRDefault="00065AE7" w:rsidP="009B420E">
      <w:pPr>
        <w:jc w:val="both"/>
      </w:pPr>
    </w:p>
    <w:p w:rsidR="00224351" w:rsidRDefault="005F0BC6" w:rsidP="009B420E">
      <w:pPr>
        <w:jc w:val="both"/>
      </w:pPr>
      <w:r>
        <w:t xml:space="preserve">1. This Annex elaborates on paragraphs 22–26 of the main text (CAC/GL 47-2003).  </w:t>
      </w:r>
    </w:p>
    <w:p w:rsidR="005F0BC6" w:rsidRDefault="00224351" w:rsidP="009B420E">
      <w:pPr>
        <w:jc w:val="both"/>
      </w:pPr>
      <w:r>
        <w:t>2.</w:t>
      </w:r>
      <w:r w:rsidR="00065AE7">
        <w:t xml:space="preserve"> </w:t>
      </w:r>
      <w:r w:rsidR="005F0BC6">
        <w:t>The implementation of an imported food inspection programme based on risk provides a more effective means for addressing the food safety risks that are associated with imported food</w:t>
      </w:r>
      <w:r>
        <w:rPr>
          <w:rStyle w:val="FootnoteReference"/>
        </w:rPr>
        <w:footnoteReference w:id="12"/>
      </w:r>
      <w:r w:rsidR="005F0BC6">
        <w:t xml:space="preserve">, ensuring compliance of imported foods with importing countries’ food safety requirements and allows greater attention to be given to foods that present a higher level of risk to human health. </w:t>
      </w:r>
    </w:p>
    <w:p w:rsidR="005F0BC6" w:rsidRDefault="005F0BC6" w:rsidP="009B420E">
      <w:pPr>
        <w:jc w:val="both"/>
      </w:pPr>
      <w:r>
        <w:t xml:space="preserve">3. This document should be read in conjunction with all relevant Codex guidelines. </w:t>
      </w:r>
    </w:p>
    <w:p w:rsidR="005F0BC6" w:rsidRDefault="005F0BC6" w:rsidP="009B420E">
      <w:pPr>
        <w:jc w:val="both"/>
      </w:pPr>
    </w:p>
    <w:p w:rsidR="005F0BC6" w:rsidRPr="00224351" w:rsidRDefault="005F0BC6" w:rsidP="009B420E">
      <w:pPr>
        <w:jc w:val="both"/>
        <w:rPr>
          <w:b/>
        </w:rPr>
      </w:pPr>
      <w:r w:rsidRPr="00224351">
        <w:rPr>
          <w:b/>
        </w:rPr>
        <w:t xml:space="preserve">SECTION 2 – OBJECTIVE </w:t>
      </w:r>
    </w:p>
    <w:p w:rsidR="005F0BC6" w:rsidRDefault="005F0BC6" w:rsidP="009B420E">
      <w:pPr>
        <w:jc w:val="both"/>
      </w:pPr>
      <w:r>
        <w:t xml:space="preserve">4. This annex is intended to provide competent authorities with information to assist them with the design and implementation of inspection programmes for imported food, based on the food safety risks. </w:t>
      </w:r>
    </w:p>
    <w:p w:rsidR="005F0BC6" w:rsidRDefault="005F0BC6" w:rsidP="009B420E">
      <w:pPr>
        <w:jc w:val="both"/>
      </w:pPr>
    </w:p>
    <w:p w:rsidR="005F0BC6" w:rsidRPr="00224351" w:rsidRDefault="005F0BC6" w:rsidP="009B420E">
      <w:pPr>
        <w:jc w:val="both"/>
        <w:rPr>
          <w:b/>
        </w:rPr>
      </w:pPr>
      <w:r w:rsidRPr="00224351">
        <w:rPr>
          <w:b/>
        </w:rPr>
        <w:t xml:space="preserve">SECTION 3 – PRINCIPLES </w:t>
      </w:r>
    </w:p>
    <w:p w:rsidR="005F0BC6" w:rsidRDefault="005F0BC6" w:rsidP="009B420E">
      <w:pPr>
        <w:jc w:val="both"/>
      </w:pPr>
      <w:r>
        <w:t xml:space="preserve">5. The following principles apply to the development and implementation of an imported food inspection programme based on risk. </w:t>
      </w:r>
    </w:p>
    <w:p w:rsidR="005F0BC6" w:rsidRDefault="005F0BC6" w:rsidP="009B420E">
      <w:pPr>
        <w:jc w:val="both"/>
      </w:pPr>
      <w:r>
        <w:t xml:space="preserve">– In determining the level of risk assigned to an imported food an importing country should consider the assessed food safety risk to human health the food presents or is likely to present based on available scientific information in relation to the consumption of the food. </w:t>
      </w:r>
    </w:p>
    <w:p w:rsidR="005F0BC6" w:rsidRDefault="005F0BC6" w:rsidP="009B420E">
      <w:pPr>
        <w:jc w:val="both"/>
      </w:pPr>
      <w:r>
        <w:t xml:space="preserve">– Requirements for an imported food inspection programme based on risk should be developed using a risk analysis approach, and should not be applied arbitrarily or in a discriminatory manner, and should not result in unjustified barriers to trade or unnecessary delays. </w:t>
      </w:r>
    </w:p>
    <w:p w:rsidR="005F0BC6" w:rsidRDefault="005F0BC6" w:rsidP="009B420E">
      <w:pPr>
        <w:jc w:val="both"/>
      </w:pPr>
      <w:r>
        <w:t xml:space="preserve"> – The nature</w:t>
      </w:r>
      <w:r w:rsidR="00224351">
        <w:rPr>
          <w:rStyle w:val="FootnoteReference"/>
        </w:rPr>
        <w:footnoteReference w:id="13"/>
      </w:r>
      <w:r>
        <w:t xml:space="preserve"> and frequency of inspection of a specific imported food should be proportionate to the level of risk attributed to it and take into account, all relevant factors</w:t>
      </w:r>
      <w:r w:rsidR="00224351">
        <w:rPr>
          <w:rStyle w:val="FootnoteReference"/>
        </w:rPr>
        <w:footnoteReference w:id="14"/>
      </w:r>
      <w:r w:rsidR="00224351">
        <w:t>.</w:t>
      </w:r>
      <w:r>
        <w:t xml:space="preserve"> </w:t>
      </w:r>
    </w:p>
    <w:p w:rsidR="005F0BC6" w:rsidRDefault="005F0BC6" w:rsidP="009B420E">
      <w:pPr>
        <w:jc w:val="both"/>
      </w:pPr>
      <w:r>
        <w:t>– Sampling plans</w:t>
      </w:r>
      <w:r w:rsidR="007F279A">
        <w:rPr>
          <w:rStyle w:val="FootnoteReference"/>
        </w:rPr>
        <w:footnoteReference w:id="15"/>
      </w:r>
      <w:r>
        <w:t xml:space="preserve"> and methods of analysis should, be based on Codex standards, guidelines, and recommendations. In the absence of Codex sampling plans, reference should be made to internationally accepted or scientifically based sampling plans when practically feasible</w:t>
      </w:r>
      <w:r w:rsidR="007F279A">
        <w:rPr>
          <w:rStyle w:val="FootnoteReference"/>
        </w:rPr>
        <w:footnoteReference w:id="16"/>
      </w:r>
      <w:r w:rsidR="007F279A">
        <w:t>.</w:t>
      </w:r>
      <w:r>
        <w:t xml:space="preserve"> </w:t>
      </w:r>
    </w:p>
    <w:p w:rsidR="005F0BC6" w:rsidRDefault="005F0BC6" w:rsidP="009B420E">
      <w:pPr>
        <w:jc w:val="both"/>
      </w:pPr>
      <w:r>
        <w:lastRenderedPageBreak/>
        <w:t>– Information regarding a country’s imported food inspection programme base</w:t>
      </w:r>
      <w:r w:rsidR="007F279A">
        <w:t xml:space="preserve">d </w:t>
      </w:r>
      <w:r>
        <w:t xml:space="preserve">on risk should be transparent, easily accessible, and up to date. </w:t>
      </w:r>
    </w:p>
    <w:p w:rsidR="005F0BC6" w:rsidRDefault="005F0BC6" w:rsidP="009B420E">
      <w:pPr>
        <w:jc w:val="both"/>
      </w:pPr>
    </w:p>
    <w:p w:rsidR="005F0BC6" w:rsidRPr="007F279A" w:rsidRDefault="005F0BC6" w:rsidP="009B420E">
      <w:pPr>
        <w:jc w:val="both"/>
        <w:rPr>
          <w:b/>
        </w:rPr>
      </w:pPr>
      <w:r w:rsidRPr="007F279A">
        <w:rPr>
          <w:b/>
        </w:rPr>
        <w:t xml:space="preserve">SECTION 4 – DESIGNING AN IMPORTED FOOD INSPECTION PROGRAMME BASED ON RISK </w:t>
      </w:r>
    </w:p>
    <w:p w:rsidR="005F0BC6" w:rsidRDefault="005F0BC6" w:rsidP="009B420E">
      <w:pPr>
        <w:jc w:val="both"/>
      </w:pPr>
      <w:r>
        <w:t xml:space="preserve">6. The competent authority should use relevant information to assess the level of risk associated with the imported food. This information could include, inter alia: </w:t>
      </w:r>
    </w:p>
    <w:p w:rsidR="005F0BC6" w:rsidRDefault="005F0BC6" w:rsidP="009B420E">
      <w:pPr>
        <w:jc w:val="both"/>
      </w:pPr>
      <w:r>
        <w:t>– The scientific determination of the food safety risk to the extent possible</w:t>
      </w:r>
      <w:r w:rsidR="007F279A">
        <w:rPr>
          <w:rStyle w:val="FootnoteReference"/>
        </w:rPr>
        <w:footnoteReference w:id="17"/>
      </w:r>
      <w:r w:rsidR="007F279A">
        <w:t>1</w:t>
      </w:r>
      <w:r>
        <w:t xml:space="preserve"> </w:t>
      </w:r>
    </w:p>
    <w:p w:rsidR="005F0BC6" w:rsidRDefault="005F0BC6" w:rsidP="009B420E">
      <w:pPr>
        <w:jc w:val="both"/>
      </w:pPr>
      <w:r>
        <w:t>– The adequacy of processing controls in place in the exporting country as evidenced by its laws, regulations, and other policies; its infrastructure; and its ability to effectively enforce food safety requirements, as may be verified by audits and on-site visits by the competent authority of the importing country</w:t>
      </w:r>
      <w:r w:rsidR="007F279A">
        <w:rPr>
          <w:rStyle w:val="FootnoteReference"/>
        </w:rPr>
        <w:footnoteReference w:id="18"/>
      </w:r>
      <w:r>
        <w:t xml:space="preserve">18. </w:t>
      </w:r>
    </w:p>
    <w:p w:rsidR="005F0BC6" w:rsidRDefault="005F0BC6" w:rsidP="009B420E">
      <w:pPr>
        <w:jc w:val="both"/>
      </w:pPr>
      <w:r>
        <w:t>– The compliance history of the food generally, ir</w:t>
      </w:r>
      <w:r w:rsidR="007F279A">
        <w:t xml:space="preserve">respective of the source of the </w:t>
      </w:r>
      <w:r>
        <w:t xml:space="preserve">food. </w:t>
      </w:r>
    </w:p>
    <w:p w:rsidR="005F0BC6" w:rsidRDefault="005F0BC6" w:rsidP="009B420E">
      <w:pPr>
        <w:jc w:val="both"/>
      </w:pPr>
      <w:r>
        <w:t xml:space="preserve">– The compliance history of the food with respect to the source of the food including, where available, the compliance history of: </w:t>
      </w:r>
    </w:p>
    <w:p w:rsidR="005F0BC6" w:rsidRDefault="005F0BC6" w:rsidP="009B420E">
      <w:pPr>
        <w:jc w:val="both"/>
      </w:pPr>
      <w:r>
        <w:t xml:space="preserve">• the exporting country or region/area within an exporting country; </w:t>
      </w:r>
    </w:p>
    <w:p w:rsidR="005F0BC6" w:rsidRDefault="005F0BC6" w:rsidP="009B420E">
      <w:pPr>
        <w:jc w:val="both"/>
      </w:pPr>
      <w:r>
        <w:t xml:space="preserve">• the producer and manufacturer; </w:t>
      </w:r>
    </w:p>
    <w:p w:rsidR="005F0BC6" w:rsidRDefault="005F0BC6" w:rsidP="009B420E">
      <w:pPr>
        <w:jc w:val="both"/>
      </w:pPr>
      <w:r>
        <w:t xml:space="preserve">• the exporter; </w:t>
      </w:r>
    </w:p>
    <w:p w:rsidR="005F0BC6" w:rsidRDefault="005F0BC6" w:rsidP="009B420E">
      <w:pPr>
        <w:jc w:val="both"/>
      </w:pPr>
      <w:r>
        <w:t xml:space="preserve">• the shipper; and </w:t>
      </w:r>
    </w:p>
    <w:p w:rsidR="005F0BC6" w:rsidRDefault="005F0BC6" w:rsidP="009B420E">
      <w:pPr>
        <w:jc w:val="both"/>
      </w:pPr>
      <w:r>
        <w:t xml:space="preserve">• the importer. </w:t>
      </w:r>
    </w:p>
    <w:p w:rsidR="005F0BC6" w:rsidRDefault="005F0BC6" w:rsidP="009B420E">
      <w:pPr>
        <w:jc w:val="both"/>
      </w:pPr>
      <w:r>
        <w:t xml:space="preserve">– Reports from officially recognized inspection and/or certification bodies. </w:t>
      </w:r>
    </w:p>
    <w:p w:rsidR="005F0BC6" w:rsidRDefault="005F0BC6" w:rsidP="009B420E">
      <w:pPr>
        <w:jc w:val="both"/>
      </w:pPr>
      <w:r>
        <w:t xml:space="preserve">7. The level of risk assigned to a food should be reviewed periodically or when new information that may affect the food safety risk associated with the food becomes known in order to maintain the proportionality between the nature and frequency of inspection and the risk assessed. </w:t>
      </w:r>
    </w:p>
    <w:p w:rsidR="005F0BC6" w:rsidRDefault="005F0BC6" w:rsidP="009B420E">
      <w:pPr>
        <w:jc w:val="both"/>
      </w:pPr>
      <w:r>
        <w:t xml:space="preserve">8. The competent food safety authority may establish levels of inspection based on the above factors in order to determine the nature and frequency of inspections at the border/point of control of a given food from a given country, producer/manufacturer, exporter, shipper, and importer. The nature and frequency of inspection may then be adjusted according to the demonstrated compliance to food safety requirements. The nature and frequency of inspection should be fully documented. </w:t>
      </w:r>
    </w:p>
    <w:p w:rsidR="005F0BC6" w:rsidRDefault="005F0BC6" w:rsidP="009B420E">
      <w:pPr>
        <w:jc w:val="both"/>
      </w:pPr>
      <w:r>
        <w:t xml:space="preserve">9. The importing country should adjust the nature and frequency of inspection of the imported food based on information from competent authorities in the exporting country regarding the exported foods. This information may include: </w:t>
      </w:r>
    </w:p>
    <w:p w:rsidR="005F0BC6" w:rsidRDefault="005F0BC6" w:rsidP="009B420E">
      <w:pPr>
        <w:jc w:val="both"/>
      </w:pPr>
      <w:r>
        <w:t xml:space="preserve">– certificates; </w:t>
      </w:r>
    </w:p>
    <w:p w:rsidR="005F0BC6" w:rsidRDefault="005F0BC6" w:rsidP="009B420E">
      <w:pPr>
        <w:jc w:val="both"/>
      </w:pPr>
      <w:r>
        <w:t xml:space="preserve">– equivalence determinations; </w:t>
      </w:r>
    </w:p>
    <w:p w:rsidR="005F0BC6" w:rsidRDefault="005F0BC6" w:rsidP="009B420E">
      <w:pPr>
        <w:jc w:val="both"/>
      </w:pPr>
      <w:r>
        <w:lastRenderedPageBreak/>
        <w:t xml:space="preserve">– memoranda of understanding; </w:t>
      </w:r>
    </w:p>
    <w:p w:rsidR="005F0BC6" w:rsidRDefault="005F0BC6" w:rsidP="009B420E">
      <w:pPr>
        <w:jc w:val="both"/>
      </w:pPr>
      <w:r>
        <w:t xml:space="preserve">– mutual recognition agreements; or </w:t>
      </w:r>
    </w:p>
    <w:p w:rsidR="005F0BC6" w:rsidRDefault="005F0BC6" w:rsidP="009B420E">
      <w:pPr>
        <w:jc w:val="both"/>
      </w:pPr>
      <w:r>
        <w:t xml:space="preserve">– other appropriate means acceptable between countries. </w:t>
      </w:r>
    </w:p>
    <w:p w:rsidR="005F0BC6" w:rsidRDefault="005F0BC6" w:rsidP="009B420E">
      <w:pPr>
        <w:jc w:val="both"/>
      </w:pPr>
      <w:r>
        <w:t xml:space="preserve">10. The importing country may also adapt/alter the nature and frequency of inspection of the imported food based on an assessment by the importing country’s competent authority of controls its importers exercise over their suppliers. </w:t>
      </w:r>
    </w:p>
    <w:p w:rsidR="005F0BC6" w:rsidRDefault="005F0BC6" w:rsidP="009B420E">
      <w:pPr>
        <w:jc w:val="both"/>
      </w:pPr>
      <w:r>
        <w:t xml:space="preserve">11. Exporting countries can provide information on the control systems in place in their country and, as appropriate, may provide assurance to the importing country that a particular food complies with the food safety requirements of the importing country. 12. Audits by the importing country may, where appropriate, verify an exporting country’s inspection controls, and the information gained from these audits could be used as part of the review of the level of risk assigned to the food from that country. </w:t>
      </w:r>
    </w:p>
    <w:p w:rsidR="005F0BC6" w:rsidRDefault="005F0BC6" w:rsidP="009B420E">
      <w:pPr>
        <w:jc w:val="both"/>
      </w:pPr>
      <w:r>
        <w:t xml:space="preserve">13. When an importing country does not have prior knowledge of an exporting country’s processing controls or of the food itself, that is those items listed in paragraph 6, a compliance history is lacking or such information cannot be readily obtained, an importing country may, until there is such knowledge, initially establish inspections of a more comprehensive nature and of a higher frequency than that which it might assign to the food when such information is available. </w:t>
      </w:r>
    </w:p>
    <w:p w:rsidR="005F0BC6" w:rsidRDefault="005F0BC6" w:rsidP="009B420E">
      <w:pPr>
        <w:jc w:val="both"/>
      </w:pPr>
      <w:r>
        <w:t xml:space="preserve">14. Sustained conformance with the importing country’s requirements, as demonstrated, for example, by audit results and results of border/point of control checks, provides an opportunity for importing countries to adjust the nature and frequency of inspection at the border/point of control, in proportion to the level of compliance verified. </w:t>
      </w:r>
    </w:p>
    <w:p w:rsidR="005F0BC6" w:rsidRDefault="005F0BC6" w:rsidP="009B420E">
      <w:pPr>
        <w:jc w:val="both"/>
      </w:pPr>
      <w:r>
        <w:t>15. Foodborne illness outbreaks; epidemiological findings; results of audits conducted in the exporting country; the detection of non-compliances with food safety requirements at the point of import and detection of pathogens, contaminants and harmful residues in imported food; and the results of border/point of control checks, may lead an importing country to adjust the nature and frequency of inspection, or in extreme cases, to suspend the trade in that food until it is confirmed that corrective measures have been introduced and are being implemented effectively</w:t>
      </w:r>
      <w:r w:rsidR="005A6BB2">
        <w:rPr>
          <w:rStyle w:val="FootnoteReference"/>
        </w:rPr>
        <w:footnoteReference w:id="19"/>
      </w:r>
      <w:r>
        <w:t xml:space="preserve">. An importing country may work with an exporting country to prevent the occurrence of further outbreaks. </w:t>
      </w:r>
    </w:p>
    <w:p w:rsidR="005F0BC6" w:rsidRDefault="005F0BC6" w:rsidP="009B420E">
      <w:pPr>
        <w:jc w:val="both"/>
      </w:pPr>
      <w:r>
        <w:t xml:space="preserve">16. The level of adjustment/modification of the nature and frequency of inspection applied to a food should be proportional to the changes in the level of assessed risk for the food in question. </w:t>
      </w:r>
    </w:p>
    <w:p w:rsidR="005F0BC6" w:rsidRPr="005A6BB2" w:rsidRDefault="005F0BC6" w:rsidP="009B420E">
      <w:pPr>
        <w:jc w:val="both"/>
        <w:rPr>
          <w:b/>
        </w:rPr>
      </w:pPr>
      <w:r w:rsidRPr="005A6BB2">
        <w:rPr>
          <w:b/>
        </w:rPr>
        <w:t xml:space="preserve">SECTION 5 – DEVELOPING REQUIREMENTS AND PROCEDURES </w:t>
      </w:r>
    </w:p>
    <w:p w:rsidR="005F0BC6" w:rsidRDefault="005F0BC6" w:rsidP="009B420E">
      <w:pPr>
        <w:jc w:val="both"/>
      </w:pPr>
      <w:r>
        <w:t xml:space="preserve">17. Competent authorities should take into account Codex standards, recommendations, and guidelines, in developing requirements for border/point of control checks of imported food and make use, when available, of: </w:t>
      </w:r>
    </w:p>
    <w:p w:rsidR="005F0BC6" w:rsidRDefault="005F0BC6" w:rsidP="009B420E">
      <w:pPr>
        <w:jc w:val="both"/>
      </w:pPr>
      <w:r>
        <w:t xml:space="preserve">– Relevant information from risk assessments conducted according to internationally recognized protocols for the biological, chemical, and physical hazards associated with the type of food. </w:t>
      </w:r>
    </w:p>
    <w:p w:rsidR="005F0BC6" w:rsidRDefault="005F0BC6" w:rsidP="009B420E">
      <w:pPr>
        <w:jc w:val="both"/>
      </w:pPr>
      <w:r>
        <w:t xml:space="preserve">– Internationally accepted or scientifically based sampling plans, to the extent possible. </w:t>
      </w:r>
    </w:p>
    <w:p w:rsidR="005F0BC6" w:rsidRDefault="005F0BC6" w:rsidP="009B420E">
      <w:pPr>
        <w:jc w:val="both"/>
      </w:pPr>
      <w:r>
        <w:t xml:space="preserve">– Appropriate inspection procedures, appropriate sampling techniques, and </w:t>
      </w:r>
    </w:p>
    <w:p w:rsidR="005F0BC6" w:rsidRDefault="005F0BC6" w:rsidP="009B420E">
      <w:pPr>
        <w:jc w:val="both"/>
      </w:pPr>
      <w:r>
        <w:lastRenderedPageBreak/>
        <w:t xml:space="preserve">official or officially accredited laboratories using validated analytical methods. </w:t>
      </w:r>
    </w:p>
    <w:p w:rsidR="005F0BC6" w:rsidRDefault="005F0BC6" w:rsidP="009B420E">
      <w:pPr>
        <w:jc w:val="both"/>
      </w:pPr>
      <w:r>
        <w:t xml:space="preserve">18. The nature of inspection may consist of a range of procedures to ensure that imported foods meet the importing country’s food safety requirements. When defining these procedures to verify compliance with safety requirements, the proportionality of these measures with the level of risk of the food or group of foods should be considered. These procedures may include for example: </w:t>
      </w:r>
    </w:p>
    <w:p w:rsidR="005F0BC6" w:rsidRDefault="005F0BC6" w:rsidP="009B420E">
      <w:pPr>
        <w:jc w:val="both"/>
      </w:pPr>
      <w:r>
        <w:t xml:space="preserve">– checking the documentation and/or the general condition of the shipment; </w:t>
      </w:r>
    </w:p>
    <w:p w:rsidR="005F0BC6" w:rsidRDefault="005F0BC6" w:rsidP="009B420E">
      <w:pPr>
        <w:jc w:val="both"/>
      </w:pPr>
      <w:r>
        <w:t xml:space="preserve">– checking documentation plus periodic food sampling (e.g., 1 in 20 or 1 in 40 shipments) to confirm the accuracy of the documentation; </w:t>
      </w:r>
    </w:p>
    <w:p w:rsidR="005F0BC6" w:rsidRDefault="005F0BC6" w:rsidP="009B420E">
      <w:pPr>
        <w:jc w:val="both"/>
      </w:pPr>
      <w:r>
        <w:t xml:space="preserve">– sensory examination; </w:t>
      </w:r>
    </w:p>
    <w:p w:rsidR="005F0BC6" w:rsidRDefault="005F0BC6" w:rsidP="009B420E">
      <w:pPr>
        <w:jc w:val="both"/>
      </w:pPr>
      <w:r>
        <w:t xml:space="preserve">– random or targeted sampling and testing of, or within, shipments according to a sampling plan; or </w:t>
      </w:r>
    </w:p>
    <w:p w:rsidR="005F0BC6" w:rsidRDefault="005F0BC6" w:rsidP="009B420E">
      <w:pPr>
        <w:jc w:val="both"/>
      </w:pPr>
      <w:r>
        <w:t xml:space="preserve">– lot-by-lot inspection, sampling, and testing, which, in general, should be reserved for those foods that present, or have the potential to present, the highest food safety risk. </w:t>
      </w:r>
    </w:p>
    <w:p w:rsidR="005F0BC6" w:rsidRDefault="005F0BC6" w:rsidP="009B420E">
      <w:pPr>
        <w:jc w:val="both"/>
      </w:pPr>
    </w:p>
    <w:p w:rsidR="005F0BC6" w:rsidRPr="005A6BB2" w:rsidRDefault="005F0BC6" w:rsidP="009B420E">
      <w:pPr>
        <w:jc w:val="both"/>
        <w:rPr>
          <w:b/>
        </w:rPr>
      </w:pPr>
      <w:r w:rsidRPr="005A6BB2">
        <w:rPr>
          <w:b/>
        </w:rPr>
        <w:t xml:space="preserve">SECTION 6 – IMPLEMENTING THE IMPORT INSPECTION PROGRAMME BASED ON RISK </w:t>
      </w:r>
    </w:p>
    <w:p w:rsidR="005F0BC6" w:rsidRDefault="005F0BC6" w:rsidP="009B420E">
      <w:pPr>
        <w:jc w:val="both"/>
      </w:pPr>
      <w:r>
        <w:t xml:space="preserve">19. Competent authorities with responsibility for imported food inspection programs based on risk should ensure that relevant policies and procedures are implemented in a transparent, coordinated, and consistent manner. Personnel should be appropriately trained to enable such coordination, and information should be shared among competent authorities. </w:t>
      </w:r>
    </w:p>
    <w:p w:rsidR="005F0BC6" w:rsidRDefault="005F0BC6" w:rsidP="009B420E">
      <w:pPr>
        <w:jc w:val="both"/>
      </w:pPr>
      <w:r>
        <w:t xml:space="preserve">20. A failure of food shipments to meet importing country food safety requirements might, besides other actions, trigger a change in the manner in which risk is managed by the importing country for the food concerned. The response could include food being held pending final judgment combined with enhanced sampling and testing from the establishment involved. These actions may also be applied to other exporting establishments from the same country producing similar foods where there is evidence of a systemic problem. The suspension of the importation of a food by an importing country should be reserved only for those situations involving a serious food safety risk that has not been managed by other means. Procedures should provide for appeal. </w:t>
      </w:r>
    </w:p>
    <w:p w:rsidR="009B420E" w:rsidRDefault="005F0BC6" w:rsidP="009B420E">
      <w:pPr>
        <w:jc w:val="both"/>
      </w:pPr>
      <w:r>
        <w:t xml:space="preserve">21. When the results of border/point of control checks indicate failure of a shipment to meet the requirements of the importing country, competent authorities of the importing countries should consider action as described in the Codex Guidelines for the Exchange of Information Between Countries on Rejection of Imported Food (CAC/GL 25-1997) or in the Codex Principles and Guidelines for the Exchange of Information in Food Safety Emergency Situations (CAC/GL 19-1995). </w:t>
      </w:r>
    </w:p>
    <w:p w:rsidR="005F0BC6" w:rsidRDefault="005F0BC6" w:rsidP="009B420E">
      <w:pPr>
        <w:jc w:val="both"/>
      </w:pPr>
      <w:r>
        <w:t xml:space="preserve">22. Competent authorities of the importing country should ensure adequate laboratory competency, capability and capacity is available to conduct the testing of imported food. </w:t>
      </w:r>
    </w:p>
    <w:sectPr w:rsidR="005F0BC6" w:rsidSect="005F0BC6">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BAD" w:rsidRDefault="00621BAD" w:rsidP="005F0BC6">
      <w:pPr>
        <w:spacing w:after="0" w:line="240" w:lineRule="auto"/>
      </w:pPr>
      <w:r>
        <w:separator/>
      </w:r>
    </w:p>
  </w:endnote>
  <w:endnote w:type="continuationSeparator" w:id="0">
    <w:p w:rsidR="00621BAD" w:rsidRDefault="00621BAD" w:rsidP="005F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C5" w:rsidRDefault="00A52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C5" w:rsidRDefault="00A527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C5" w:rsidRDefault="00A527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809671"/>
      <w:docPartObj>
        <w:docPartGallery w:val="Page Numbers (Bottom of Page)"/>
        <w:docPartUnique/>
      </w:docPartObj>
    </w:sdtPr>
    <w:sdtEndPr>
      <w:rPr>
        <w:noProof/>
      </w:rPr>
    </w:sdtEndPr>
    <w:sdtContent>
      <w:p w:rsidR="005F0BC6" w:rsidRDefault="005F0BC6">
        <w:pPr>
          <w:pStyle w:val="Footer"/>
          <w:jc w:val="right"/>
        </w:pPr>
        <w:r>
          <w:fldChar w:fldCharType="begin"/>
        </w:r>
        <w:r>
          <w:instrText xml:space="preserve"> PAGE   \* MERGEFORMAT </w:instrText>
        </w:r>
        <w:r>
          <w:fldChar w:fldCharType="separate"/>
        </w:r>
        <w:r w:rsidR="00A527C5">
          <w:rPr>
            <w:noProof/>
          </w:rPr>
          <w:t>13</w:t>
        </w:r>
        <w:r>
          <w:rPr>
            <w:noProof/>
          </w:rPr>
          <w:fldChar w:fldCharType="end"/>
        </w:r>
      </w:p>
    </w:sdtContent>
  </w:sdt>
  <w:p w:rsidR="005F0BC6" w:rsidRPr="009D4356" w:rsidRDefault="009D4356" w:rsidP="005F0BC6">
    <w:pPr>
      <w:pStyle w:val="Footer"/>
      <w:jc w:val="center"/>
      <w:rPr>
        <w:i/>
        <w:sz w:val="20"/>
        <w:szCs w:val="20"/>
      </w:rPr>
    </w:pPr>
    <w:r w:rsidRPr="009D4356">
      <w:rPr>
        <w:i/>
        <w:sz w:val="20"/>
        <w:szCs w:val="20"/>
      </w:rPr>
      <w:t>ASEAN GUIDELINES FOR FOOD IMPORT CONTROL SYSTEMS</w:t>
    </w:r>
  </w:p>
  <w:p w:rsidR="009D4356" w:rsidRDefault="009D43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BAD" w:rsidRDefault="00621BAD" w:rsidP="005F0BC6">
      <w:pPr>
        <w:spacing w:after="0" w:line="240" w:lineRule="auto"/>
      </w:pPr>
      <w:r>
        <w:separator/>
      </w:r>
    </w:p>
  </w:footnote>
  <w:footnote w:type="continuationSeparator" w:id="0">
    <w:p w:rsidR="00621BAD" w:rsidRDefault="00621BAD" w:rsidP="005F0BC6">
      <w:pPr>
        <w:spacing w:after="0" w:line="240" w:lineRule="auto"/>
      </w:pPr>
      <w:r>
        <w:continuationSeparator/>
      </w:r>
    </w:p>
  </w:footnote>
  <w:footnote w:id="1">
    <w:p w:rsidR="005F0BC6" w:rsidRPr="009D4356" w:rsidRDefault="005F0BC6">
      <w:pPr>
        <w:pStyle w:val="FootnoteText"/>
        <w:rPr>
          <w:sz w:val="16"/>
          <w:szCs w:val="16"/>
          <w:lang w:val="en-US"/>
        </w:rPr>
      </w:pPr>
      <w:r w:rsidRPr="009D4356">
        <w:rPr>
          <w:rStyle w:val="FootnoteReference"/>
          <w:sz w:val="16"/>
          <w:szCs w:val="16"/>
        </w:rPr>
        <w:footnoteRef/>
      </w:r>
      <w:r w:rsidRPr="009D4356">
        <w:rPr>
          <w:sz w:val="16"/>
          <w:szCs w:val="16"/>
        </w:rPr>
        <w:t xml:space="preserve"> Principles for Food Import and Export Inspection and Certification (CAC/GL 20-1995)</w:t>
      </w:r>
    </w:p>
  </w:footnote>
  <w:footnote w:id="2">
    <w:p w:rsidR="005F0BC6" w:rsidRPr="009D4356" w:rsidRDefault="005F0BC6">
      <w:pPr>
        <w:pStyle w:val="FootnoteText"/>
        <w:rPr>
          <w:sz w:val="16"/>
          <w:szCs w:val="16"/>
          <w:lang w:val="en-US"/>
        </w:rPr>
      </w:pPr>
      <w:r w:rsidRPr="009D4356">
        <w:rPr>
          <w:rStyle w:val="FootnoteReference"/>
          <w:sz w:val="16"/>
          <w:szCs w:val="16"/>
        </w:rPr>
        <w:footnoteRef/>
      </w:r>
      <w:r w:rsidRPr="009D4356">
        <w:rPr>
          <w:sz w:val="16"/>
          <w:szCs w:val="16"/>
        </w:rPr>
        <w:t xml:space="preserve"> Guidelines for the Design, Operation, Assessment and Accreditation of Food Import and Export Inspection and Certification Systems (CAC/GL 26-1997).</w:t>
      </w:r>
    </w:p>
  </w:footnote>
  <w:footnote w:id="3">
    <w:p w:rsidR="005F0BC6" w:rsidRPr="009D4356" w:rsidRDefault="005F0BC6">
      <w:pPr>
        <w:pStyle w:val="FootnoteText"/>
        <w:rPr>
          <w:sz w:val="16"/>
          <w:szCs w:val="16"/>
          <w:lang w:val="en-US"/>
        </w:rPr>
      </w:pPr>
      <w:r w:rsidRPr="009D4356">
        <w:rPr>
          <w:rStyle w:val="FootnoteReference"/>
          <w:sz w:val="16"/>
          <w:szCs w:val="16"/>
        </w:rPr>
        <w:footnoteRef/>
      </w:r>
      <w:r w:rsidRPr="009D4356">
        <w:rPr>
          <w:sz w:val="16"/>
          <w:szCs w:val="16"/>
        </w:rPr>
        <w:t xml:space="preserve"> Definitions drawn from the Guidelines for the Design, Operation, Assessment and Accreditation of Food Import and Export Inspection and Certification Systems (CAC/GL 26-1997) are marked with *. Definitions drawn from Codex Alimentarius Commission, Procedural Manual are marked with**</w:t>
      </w:r>
    </w:p>
  </w:footnote>
  <w:footnote w:id="4">
    <w:p w:rsidR="00661DDF" w:rsidRPr="00A359E6" w:rsidRDefault="00661DDF">
      <w:pPr>
        <w:pStyle w:val="FootnoteText"/>
        <w:rPr>
          <w:sz w:val="16"/>
          <w:szCs w:val="16"/>
          <w:lang w:val="en-US"/>
        </w:rPr>
      </w:pPr>
      <w:r w:rsidRPr="00A359E6">
        <w:rPr>
          <w:rStyle w:val="FootnoteReference"/>
          <w:sz w:val="16"/>
          <w:szCs w:val="16"/>
        </w:rPr>
        <w:footnoteRef/>
      </w:r>
      <w:r w:rsidRPr="00A359E6">
        <w:rPr>
          <w:sz w:val="16"/>
          <w:szCs w:val="16"/>
        </w:rPr>
        <w:t xml:space="preserve"> Guidelines for the Design, Operation, Assessment and Accreditation of Food Import and Export Inspection and Certification Systems (CAC/GL 26-1997), para. 54.</w:t>
      </w:r>
    </w:p>
  </w:footnote>
  <w:footnote w:id="5">
    <w:p w:rsidR="00661DDF" w:rsidRPr="00C07F1C" w:rsidRDefault="00661DDF">
      <w:pPr>
        <w:pStyle w:val="FootnoteText"/>
        <w:rPr>
          <w:sz w:val="16"/>
          <w:szCs w:val="16"/>
          <w:lang w:val="en-US"/>
        </w:rPr>
      </w:pPr>
      <w:r w:rsidRPr="00C07F1C">
        <w:rPr>
          <w:rStyle w:val="FootnoteReference"/>
          <w:sz w:val="16"/>
          <w:szCs w:val="16"/>
        </w:rPr>
        <w:footnoteRef/>
      </w:r>
      <w:r w:rsidRPr="00C07F1C">
        <w:rPr>
          <w:sz w:val="16"/>
          <w:szCs w:val="16"/>
        </w:rPr>
        <w:t xml:space="preserve"> Generic Official Certificate Formats and the Production and Issuance of Certificates (CAC/GL 38-2001)</w:t>
      </w:r>
    </w:p>
  </w:footnote>
  <w:footnote w:id="6">
    <w:p w:rsidR="00EC0EF5" w:rsidRPr="00C07F1C" w:rsidRDefault="00EC0EF5">
      <w:pPr>
        <w:pStyle w:val="FootnoteText"/>
        <w:rPr>
          <w:sz w:val="16"/>
          <w:szCs w:val="16"/>
          <w:lang w:val="en-US"/>
        </w:rPr>
      </w:pPr>
      <w:r w:rsidRPr="00C07F1C">
        <w:rPr>
          <w:rStyle w:val="FootnoteReference"/>
          <w:sz w:val="16"/>
          <w:szCs w:val="16"/>
        </w:rPr>
        <w:footnoteRef/>
      </w:r>
      <w:r w:rsidRPr="00C07F1C">
        <w:rPr>
          <w:sz w:val="16"/>
          <w:szCs w:val="16"/>
        </w:rPr>
        <w:t xml:space="preserve"> </w:t>
      </w:r>
      <w:r w:rsidR="004A7416" w:rsidRPr="00C07F1C">
        <w:rPr>
          <w:sz w:val="16"/>
          <w:szCs w:val="16"/>
        </w:rPr>
        <w:t>Paragraph 4 of the Guidelines for the Exchange of Information Between Countries on Rejections of Imported Food (CAC/GL 25-1997) should be consulted in this regard.</w:t>
      </w:r>
    </w:p>
  </w:footnote>
  <w:footnote w:id="7">
    <w:p w:rsidR="004A7416" w:rsidRPr="00C07F1C" w:rsidRDefault="004A7416">
      <w:pPr>
        <w:pStyle w:val="FootnoteText"/>
        <w:rPr>
          <w:sz w:val="16"/>
          <w:szCs w:val="16"/>
          <w:lang w:val="en-US"/>
        </w:rPr>
      </w:pPr>
      <w:r w:rsidRPr="00C07F1C">
        <w:rPr>
          <w:rStyle w:val="FootnoteReference"/>
          <w:sz w:val="16"/>
          <w:szCs w:val="16"/>
        </w:rPr>
        <w:footnoteRef/>
      </w:r>
      <w:r w:rsidRPr="00C07F1C">
        <w:rPr>
          <w:sz w:val="16"/>
          <w:szCs w:val="16"/>
        </w:rPr>
        <w:t xml:space="preserve"> Paragraph 6 of the Guidelines for the Exchange of Information Between Countries on Rejections of Imported Food (CAC/GL 25-1997) should be consulted in this regard.</w:t>
      </w:r>
    </w:p>
  </w:footnote>
  <w:footnote w:id="8">
    <w:p w:rsidR="004A7416" w:rsidRPr="004A7416" w:rsidRDefault="004A7416">
      <w:pPr>
        <w:pStyle w:val="FootnoteText"/>
        <w:rPr>
          <w:lang w:val="en-US"/>
        </w:rPr>
      </w:pPr>
      <w:r w:rsidRPr="00C07F1C">
        <w:rPr>
          <w:rStyle w:val="FootnoteReference"/>
          <w:sz w:val="16"/>
          <w:szCs w:val="16"/>
        </w:rPr>
        <w:footnoteRef/>
      </w:r>
      <w:r w:rsidRPr="00C07F1C">
        <w:rPr>
          <w:sz w:val="16"/>
          <w:szCs w:val="16"/>
        </w:rPr>
        <w:t xml:space="preserve"> Guidelines for the Exchange of Information in Food Control Emergency Situations (CAC/GL 19-1995).</w:t>
      </w:r>
    </w:p>
  </w:footnote>
  <w:footnote w:id="9">
    <w:p w:rsidR="00142B09" w:rsidRPr="00C07F1C" w:rsidRDefault="00142B09">
      <w:pPr>
        <w:pStyle w:val="FootnoteText"/>
        <w:rPr>
          <w:sz w:val="16"/>
          <w:szCs w:val="16"/>
          <w:lang w:val="en-US"/>
        </w:rPr>
      </w:pPr>
      <w:r>
        <w:rPr>
          <w:rStyle w:val="FootnoteReference"/>
        </w:rPr>
        <w:footnoteRef/>
      </w:r>
      <w:r>
        <w:t xml:space="preserve"> </w:t>
      </w:r>
      <w:r w:rsidRPr="00C07F1C">
        <w:rPr>
          <w:sz w:val="16"/>
          <w:szCs w:val="16"/>
        </w:rPr>
        <w:t>Guidelines for the Development of Equivalence Agreements Regarding Food Import and Export Inspection and Certification Systems (CAC/GL 34-1999).</w:t>
      </w:r>
    </w:p>
  </w:footnote>
  <w:footnote w:id="10">
    <w:p w:rsidR="00142B09" w:rsidRPr="00142B09" w:rsidRDefault="00142B09">
      <w:pPr>
        <w:pStyle w:val="FootnoteText"/>
        <w:rPr>
          <w:lang w:val="en-US"/>
        </w:rPr>
      </w:pPr>
      <w:r w:rsidRPr="00C07F1C">
        <w:rPr>
          <w:rStyle w:val="FootnoteReference"/>
          <w:sz w:val="16"/>
          <w:szCs w:val="16"/>
        </w:rPr>
        <w:footnoteRef/>
      </w:r>
      <w:r w:rsidRPr="00C07F1C">
        <w:rPr>
          <w:sz w:val="16"/>
          <w:szCs w:val="16"/>
        </w:rPr>
        <w:t xml:space="preserve"> </w:t>
      </w:r>
      <w:r w:rsidR="001624AC" w:rsidRPr="00C07F1C">
        <w:rPr>
          <w:sz w:val="16"/>
          <w:szCs w:val="16"/>
        </w:rPr>
        <w:t>WTO Decision WT/MIN (01)17</w:t>
      </w:r>
    </w:p>
  </w:footnote>
  <w:footnote w:id="11">
    <w:p w:rsidR="00224351" w:rsidRPr="007F279A" w:rsidRDefault="00224351">
      <w:pPr>
        <w:pStyle w:val="FootnoteText"/>
        <w:rPr>
          <w:sz w:val="16"/>
          <w:szCs w:val="16"/>
          <w:lang w:val="en-US"/>
        </w:rPr>
      </w:pPr>
      <w:r w:rsidRPr="007F279A">
        <w:rPr>
          <w:rStyle w:val="FootnoteReference"/>
          <w:sz w:val="16"/>
          <w:szCs w:val="16"/>
        </w:rPr>
        <w:footnoteRef/>
      </w:r>
      <w:r w:rsidRPr="007F279A">
        <w:rPr>
          <w:sz w:val="16"/>
          <w:szCs w:val="16"/>
        </w:rPr>
        <w:t xml:space="preserve"> A function of the probability of an adverse health effect and the severity of that effect, consequential to a hazard(s) in food. Definition of Risk Analysis Terms Related to Food Safety, Codex Alimentarius Procedural Manual</w:t>
      </w:r>
    </w:p>
  </w:footnote>
  <w:footnote w:id="12">
    <w:p w:rsidR="00224351" w:rsidRPr="007F279A" w:rsidRDefault="00224351">
      <w:pPr>
        <w:pStyle w:val="FootnoteText"/>
        <w:rPr>
          <w:sz w:val="16"/>
          <w:szCs w:val="16"/>
          <w:lang w:val="en-US"/>
        </w:rPr>
      </w:pPr>
      <w:r w:rsidRPr="007F279A">
        <w:rPr>
          <w:rStyle w:val="FootnoteReference"/>
          <w:sz w:val="16"/>
          <w:szCs w:val="16"/>
        </w:rPr>
        <w:footnoteRef/>
      </w:r>
      <w:r w:rsidRPr="007F279A">
        <w:rPr>
          <w:sz w:val="16"/>
          <w:szCs w:val="16"/>
        </w:rPr>
        <w:t xml:space="preserve"> Imported food in this annex also includes food ingredients. Inspection may also cover feeding stuffs for food producing animals where appropriate.</w:t>
      </w:r>
    </w:p>
  </w:footnote>
  <w:footnote w:id="13">
    <w:p w:rsidR="00224351" w:rsidRPr="007F279A" w:rsidRDefault="00224351">
      <w:pPr>
        <w:pStyle w:val="FootnoteText"/>
        <w:rPr>
          <w:sz w:val="16"/>
          <w:szCs w:val="16"/>
          <w:lang w:val="en-US"/>
        </w:rPr>
      </w:pPr>
      <w:r w:rsidRPr="007F279A">
        <w:rPr>
          <w:rStyle w:val="FootnoteReference"/>
          <w:sz w:val="16"/>
          <w:szCs w:val="16"/>
        </w:rPr>
        <w:footnoteRef/>
      </w:r>
      <w:r w:rsidRPr="007F279A">
        <w:rPr>
          <w:sz w:val="16"/>
          <w:szCs w:val="16"/>
        </w:rPr>
        <w:t xml:space="preserve"> Examples of the nature of inspection could include documentation check, visual examination, sampling and testing</w:t>
      </w:r>
    </w:p>
  </w:footnote>
  <w:footnote w:id="14">
    <w:p w:rsidR="00224351" w:rsidRPr="007F279A" w:rsidRDefault="00224351">
      <w:pPr>
        <w:pStyle w:val="FootnoteText"/>
        <w:rPr>
          <w:sz w:val="16"/>
          <w:szCs w:val="16"/>
          <w:lang w:val="en-US"/>
        </w:rPr>
      </w:pPr>
      <w:r w:rsidRPr="007F279A">
        <w:rPr>
          <w:rStyle w:val="FootnoteReference"/>
          <w:sz w:val="16"/>
          <w:szCs w:val="16"/>
        </w:rPr>
        <w:footnoteRef/>
      </w:r>
      <w:r w:rsidRPr="007F279A">
        <w:rPr>
          <w:sz w:val="16"/>
          <w:szCs w:val="16"/>
        </w:rPr>
        <w:t xml:space="preserve"> Examples of relevant factors where appropriate are included in paragraph 22 of CAC/GL 47-2003</w:t>
      </w:r>
    </w:p>
  </w:footnote>
  <w:footnote w:id="15">
    <w:p w:rsidR="007F279A" w:rsidRPr="007F279A" w:rsidRDefault="007F279A">
      <w:pPr>
        <w:pStyle w:val="FootnoteText"/>
        <w:rPr>
          <w:sz w:val="16"/>
          <w:szCs w:val="16"/>
          <w:lang w:val="en-US"/>
        </w:rPr>
      </w:pPr>
      <w:r w:rsidRPr="007F279A">
        <w:rPr>
          <w:rStyle w:val="FootnoteReference"/>
          <w:sz w:val="16"/>
          <w:szCs w:val="16"/>
        </w:rPr>
        <w:footnoteRef/>
      </w:r>
      <w:r w:rsidRPr="007F279A">
        <w:rPr>
          <w:sz w:val="16"/>
          <w:szCs w:val="16"/>
        </w:rPr>
        <w:t xml:space="preserve"> Principles for the Establishment or Selection of Codex Sampling Procedures, Codex Alimentarius Procedural Manual</w:t>
      </w:r>
    </w:p>
  </w:footnote>
  <w:footnote w:id="16">
    <w:p w:rsidR="007F279A" w:rsidRPr="007F279A" w:rsidRDefault="007F279A">
      <w:pPr>
        <w:pStyle w:val="FootnoteText"/>
        <w:rPr>
          <w:lang w:val="en-US"/>
        </w:rPr>
      </w:pPr>
      <w:r w:rsidRPr="007F279A">
        <w:rPr>
          <w:rStyle w:val="FootnoteReference"/>
          <w:sz w:val="16"/>
          <w:szCs w:val="16"/>
        </w:rPr>
        <w:footnoteRef/>
      </w:r>
      <w:r w:rsidRPr="007F279A">
        <w:rPr>
          <w:sz w:val="16"/>
          <w:szCs w:val="16"/>
        </w:rPr>
        <w:t xml:space="preserve"> Statistical validation of sampling requirements should always be the aim but may not be practical where the consignment is not homogenous</w:t>
      </w:r>
      <w:r w:rsidRPr="007F279A">
        <w:t>.</w:t>
      </w:r>
    </w:p>
  </w:footnote>
  <w:footnote w:id="17">
    <w:p w:rsidR="007F279A" w:rsidRPr="007F279A" w:rsidRDefault="007F279A">
      <w:pPr>
        <w:pStyle w:val="FootnoteText"/>
        <w:rPr>
          <w:lang w:val="en-US"/>
        </w:rPr>
      </w:pPr>
      <w:r>
        <w:rPr>
          <w:rStyle w:val="FootnoteReference"/>
        </w:rPr>
        <w:footnoteRef/>
      </w:r>
      <w:r>
        <w:t xml:space="preserve"> </w:t>
      </w:r>
      <w:r w:rsidRPr="007F279A">
        <w:t>Risk assessments, foodborne illness outbreak and epidemiological findings/history, contaminant and/or residue information can be key components of this information</w:t>
      </w:r>
    </w:p>
  </w:footnote>
  <w:footnote w:id="18">
    <w:p w:rsidR="007F279A" w:rsidRPr="007F279A" w:rsidRDefault="007F279A">
      <w:pPr>
        <w:pStyle w:val="FootnoteText"/>
        <w:rPr>
          <w:lang w:val="en-US"/>
        </w:rPr>
      </w:pPr>
      <w:r>
        <w:rPr>
          <w:rStyle w:val="FootnoteReference"/>
        </w:rPr>
        <w:footnoteRef/>
      </w:r>
      <w:r>
        <w:t xml:space="preserve"> </w:t>
      </w:r>
      <w:r w:rsidRPr="007F279A">
        <w:t>Laboratory sampling programmes and results may provide this type of information. Audits are another way of gaining information..</w:t>
      </w:r>
    </w:p>
  </w:footnote>
  <w:footnote w:id="19">
    <w:p w:rsidR="005A6BB2" w:rsidRPr="00C07F1C" w:rsidRDefault="005A6BB2">
      <w:pPr>
        <w:pStyle w:val="FootnoteText"/>
        <w:rPr>
          <w:sz w:val="16"/>
          <w:szCs w:val="16"/>
          <w:lang w:val="en-US"/>
        </w:rPr>
      </w:pPr>
      <w:r w:rsidRPr="00C07F1C">
        <w:rPr>
          <w:rStyle w:val="FootnoteReference"/>
          <w:sz w:val="16"/>
          <w:szCs w:val="16"/>
        </w:rPr>
        <w:footnoteRef/>
      </w:r>
      <w:r w:rsidRPr="00C07F1C">
        <w:rPr>
          <w:sz w:val="16"/>
          <w:szCs w:val="16"/>
        </w:rPr>
        <w:t xml:space="preserve"> In such cases, the importing country will ensure that corrective measures put in place by the exporting country are evaluated in a reasonable interval.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C5" w:rsidRDefault="00A527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C5" w:rsidRPr="00DD4AB1" w:rsidRDefault="00A527C5" w:rsidP="00A527C5">
    <w:pPr>
      <w:pStyle w:val="Header"/>
      <w:jc w:val="right"/>
      <w:rPr>
        <w:rFonts w:ascii="Arial" w:hAnsi="Arial" w:cs="Arial"/>
        <w:sz w:val="18"/>
        <w:szCs w:val="18"/>
        <w:lang w:val="en-US"/>
      </w:rPr>
    </w:pPr>
    <w:r w:rsidRPr="00DD4AB1">
      <w:rPr>
        <w:rFonts w:ascii="Arial" w:hAnsi="Arial" w:cs="Arial"/>
        <w:sz w:val="18"/>
        <w:szCs w:val="18"/>
        <w:lang w:val="en-US"/>
      </w:rPr>
      <w:t>Endorsed by 19</w:t>
    </w:r>
    <w:r w:rsidRPr="00DD4AB1">
      <w:rPr>
        <w:rFonts w:ascii="Arial" w:hAnsi="Arial" w:cs="Arial"/>
        <w:sz w:val="18"/>
        <w:szCs w:val="18"/>
        <w:vertAlign w:val="superscript"/>
        <w:lang w:val="en-US"/>
      </w:rPr>
      <w:t>th</w:t>
    </w:r>
    <w:r w:rsidRPr="00DD4AB1">
      <w:rPr>
        <w:rFonts w:ascii="Arial" w:hAnsi="Arial" w:cs="Arial"/>
        <w:sz w:val="18"/>
        <w:szCs w:val="18"/>
        <w:lang w:val="en-US"/>
      </w:rPr>
      <w:t xml:space="preserve"> PFPWG, 3-4 September 2014, Yangon, Myanmar</w:t>
    </w:r>
  </w:p>
  <w:p w:rsidR="00A527C5" w:rsidRDefault="00A527C5">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C5" w:rsidRDefault="00A527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C6"/>
    <w:rsid w:val="00065AE7"/>
    <w:rsid w:val="000B1A9E"/>
    <w:rsid w:val="00142B09"/>
    <w:rsid w:val="001624AC"/>
    <w:rsid w:val="001B1B04"/>
    <w:rsid w:val="001D7209"/>
    <w:rsid w:val="001E57E5"/>
    <w:rsid w:val="00224351"/>
    <w:rsid w:val="002F2EA2"/>
    <w:rsid w:val="00310660"/>
    <w:rsid w:val="00340A9D"/>
    <w:rsid w:val="003676C1"/>
    <w:rsid w:val="003C1B50"/>
    <w:rsid w:val="00412CE8"/>
    <w:rsid w:val="00484E85"/>
    <w:rsid w:val="004A7416"/>
    <w:rsid w:val="005A6BB2"/>
    <w:rsid w:val="005F0BC6"/>
    <w:rsid w:val="00621BAD"/>
    <w:rsid w:val="00661DDF"/>
    <w:rsid w:val="006A6DCE"/>
    <w:rsid w:val="007161CC"/>
    <w:rsid w:val="007F279A"/>
    <w:rsid w:val="008F4989"/>
    <w:rsid w:val="00972336"/>
    <w:rsid w:val="009B420E"/>
    <w:rsid w:val="009B4C3A"/>
    <w:rsid w:val="009D4356"/>
    <w:rsid w:val="00A359E6"/>
    <w:rsid w:val="00A527C5"/>
    <w:rsid w:val="00AB4F20"/>
    <w:rsid w:val="00C07F1C"/>
    <w:rsid w:val="00C54CA1"/>
    <w:rsid w:val="00C6286B"/>
    <w:rsid w:val="00D671CC"/>
    <w:rsid w:val="00DE46E2"/>
    <w:rsid w:val="00E2407D"/>
    <w:rsid w:val="00EC0EF5"/>
    <w:rsid w:val="00F77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B3FF0-C898-4216-9F38-21DF4C90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B50"/>
    <w:pPr>
      <w:spacing w:after="120" w:line="264" w:lineRule="auto"/>
    </w:pPr>
  </w:style>
  <w:style w:type="paragraph" w:styleId="Heading1">
    <w:name w:val="heading 1"/>
    <w:basedOn w:val="Normal"/>
    <w:next w:val="Normal"/>
    <w:link w:val="Heading1Char"/>
    <w:uiPriority w:val="9"/>
    <w:qFormat/>
    <w:rsid w:val="003C1B50"/>
    <w:pPr>
      <w:keepNext/>
      <w:keepLines/>
      <w:spacing w:before="240" w:after="240"/>
      <w:outlineLvl w:val="0"/>
    </w:pPr>
    <w:rPr>
      <w:rFonts w:eastAsiaTheme="majorEastAsia" w:cstheme="majorBidi"/>
      <w:b/>
      <w:bCs/>
      <w:color w:val="000099"/>
      <w:sz w:val="28"/>
      <w:szCs w:val="28"/>
    </w:rPr>
  </w:style>
  <w:style w:type="paragraph" w:styleId="Heading2">
    <w:name w:val="heading 2"/>
    <w:basedOn w:val="Normal"/>
    <w:next w:val="Normal"/>
    <w:link w:val="Heading2Char"/>
    <w:uiPriority w:val="9"/>
    <w:unhideWhenUsed/>
    <w:qFormat/>
    <w:rsid w:val="003C1B50"/>
    <w:pPr>
      <w:keepNext/>
      <w:keepLines/>
      <w:spacing w:before="120"/>
      <w:outlineLvl w:val="1"/>
    </w:pPr>
    <w:rPr>
      <w:rFonts w:eastAsiaTheme="majorEastAsia" w:cstheme="majorBidi"/>
      <w:b/>
      <w:bCs/>
      <w:color w:val="0070C0"/>
      <w:sz w:val="26"/>
      <w:szCs w:val="26"/>
    </w:rPr>
  </w:style>
  <w:style w:type="paragraph" w:styleId="Heading3">
    <w:name w:val="heading 3"/>
    <w:basedOn w:val="Normal"/>
    <w:next w:val="Normal"/>
    <w:link w:val="Heading3Char"/>
    <w:uiPriority w:val="9"/>
    <w:unhideWhenUsed/>
    <w:qFormat/>
    <w:rsid w:val="003C1B50"/>
    <w:pPr>
      <w:keepNext/>
      <w:keepLines/>
      <w:spacing w:before="200" w:after="0"/>
      <w:outlineLvl w:val="2"/>
    </w:pPr>
    <w:rPr>
      <w:rFonts w:eastAsiaTheme="majorEastAsia" w:cstheme="majorBidi"/>
      <w:b/>
      <w:b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B50"/>
    <w:rPr>
      <w:rFonts w:eastAsiaTheme="majorEastAsia" w:cstheme="majorBidi"/>
      <w:b/>
      <w:bCs/>
      <w:color w:val="000099"/>
      <w:sz w:val="28"/>
      <w:szCs w:val="28"/>
    </w:rPr>
  </w:style>
  <w:style w:type="character" w:customStyle="1" w:styleId="Heading2Char">
    <w:name w:val="Heading 2 Char"/>
    <w:basedOn w:val="DefaultParagraphFont"/>
    <w:link w:val="Heading2"/>
    <w:uiPriority w:val="9"/>
    <w:rsid w:val="003C1B50"/>
    <w:rPr>
      <w:rFonts w:eastAsiaTheme="majorEastAsia" w:cstheme="majorBidi"/>
      <w:b/>
      <w:bCs/>
      <w:color w:val="0070C0"/>
      <w:sz w:val="26"/>
      <w:szCs w:val="26"/>
    </w:rPr>
  </w:style>
  <w:style w:type="character" w:customStyle="1" w:styleId="Heading3Char">
    <w:name w:val="Heading 3 Char"/>
    <w:basedOn w:val="DefaultParagraphFont"/>
    <w:link w:val="Heading3"/>
    <w:uiPriority w:val="9"/>
    <w:rsid w:val="003C1B50"/>
    <w:rPr>
      <w:rFonts w:eastAsiaTheme="majorEastAsia" w:cstheme="majorBidi"/>
      <w:b/>
      <w:bCs/>
      <w:color w:val="0070C0"/>
      <w:sz w:val="24"/>
    </w:rPr>
  </w:style>
  <w:style w:type="paragraph" w:styleId="Title">
    <w:name w:val="Title"/>
    <w:basedOn w:val="Normal"/>
    <w:next w:val="Normal"/>
    <w:link w:val="TitleChar"/>
    <w:uiPriority w:val="10"/>
    <w:qFormat/>
    <w:rsid w:val="003C1B50"/>
    <w:pPr>
      <w:spacing w:after="300" w:line="240" w:lineRule="auto"/>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3C1B50"/>
    <w:rPr>
      <w:rFonts w:eastAsiaTheme="majorEastAsia" w:cstheme="majorBidi"/>
      <w:color w:val="17365D" w:themeColor="text2" w:themeShade="BF"/>
      <w:spacing w:val="5"/>
      <w:kern w:val="28"/>
      <w:sz w:val="36"/>
      <w:szCs w:val="52"/>
    </w:rPr>
  </w:style>
  <w:style w:type="paragraph" w:styleId="Header">
    <w:name w:val="header"/>
    <w:basedOn w:val="Normal"/>
    <w:link w:val="HeaderChar"/>
    <w:uiPriority w:val="99"/>
    <w:unhideWhenUsed/>
    <w:rsid w:val="005F0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BC6"/>
  </w:style>
  <w:style w:type="paragraph" w:styleId="Footer">
    <w:name w:val="footer"/>
    <w:basedOn w:val="Normal"/>
    <w:link w:val="FooterChar"/>
    <w:uiPriority w:val="99"/>
    <w:unhideWhenUsed/>
    <w:rsid w:val="005F0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BC6"/>
  </w:style>
  <w:style w:type="paragraph" w:styleId="FootnoteText">
    <w:name w:val="footnote text"/>
    <w:basedOn w:val="Normal"/>
    <w:link w:val="FootnoteTextChar"/>
    <w:uiPriority w:val="99"/>
    <w:semiHidden/>
    <w:unhideWhenUsed/>
    <w:rsid w:val="005F0B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BC6"/>
    <w:rPr>
      <w:sz w:val="20"/>
      <w:szCs w:val="20"/>
    </w:rPr>
  </w:style>
  <w:style w:type="character" w:styleId="FootnoteReference">
    <w:name w:val="footnote reference"/>
    <w:basedOn w:val="DefaultParagraphFont"/>
    <w:uiPriority w:val="99"/>
    <w:semiHidden/>
    <w:unhideWhenUsed/>
    <w:rsid w:val="005F0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00DE-468C-47F3-8143-D1D1422F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5484</Words>
  <Characters>31264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Rajinder Raj Sud</dc:creator>
  <cp:lastModifiedBy>Lusia Herwahyu</cp:lastModifiedBy>
  <cp:revision>20</cp:revision>
  <dcterms:created xsi:type="dcterms:W3CDTF">2014-07-16T06:59:00Z</dcterms:created>
  <dcterms:modified xsi:type="dcterms:W3CDTF">2014-09-04T09:05:00Z</dcterms:modified>
</cp:coreProperties>
</file>